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4BA74" w14:textId="77777777" w:rsidR="00762925" w:rsidRPr="00CE28E3" w:rsidRDefault="00762925" w:rsidP="00762925">
      <w:pPr>
        <w:spacing w:after="240"/>
        <w:jc w:val="center"/>
        <w:rPr>
          <w:b/>
          <w:i/>
          <w:highlight w:val="yellow"/>
        </w:rPr>
      </w:pPr>
      <w:r w:rsidRPr="00CE28E3">
        <w:rPr>
          <w:rFonts w:ascii="Arial" w:hAnsi="Arial" w:cs="Arial"/>
          <w:b/>
          <w:noProof/>
          <w:color w:val="000080"/>
          <w:sz w:val="28"/>
          <w:szCs w:val="28"/>
          <w:lang w:eastAsia="en-AU"/>
        </w:rPr>
        <w:drawing>
          <wp:inline distT="0" distB="0" distL="0" distR="0" wp14:anchorId="76F46443" wp14:editId="18B7540E">
            <wp:extent cx="2627630" cy="1078865"/>
            <wp:effectExtent l="0" t="0" r="1270" b="6985"/>
            <wp:docPr id="6" name="Picture 6"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1967070" w14:textId="77777777" w:rsidR="003E28AF" w:rsidRDefault="003E28AF" w:rsidP="003E28AF">
      <w:pPr>
        <w:pStyle w:val="Subtitle"/>
        <w:spacing w:before="360"/>
        <w:rPr>
          <w:rFonts w:eastAsiaTheme="majorEastAsia"/>
          <w:i w:val="0"/>
          <w:sz w:val="36"/>
          <w:szCs w:val="36"/>
          <w:lang w:eastAsia="en-US"/>
        </w:rPr>
      </w:pPr>
      <w:r w:rsidRPr="005F6A3D">
        <w:rPr>
          <w:rFonts w:eastAsiaTheme="majorEastAsia"/>
          <w:i w:val="0"/>
          <w:sz w:val="36"/>
          <w:szCs w:val="36"/>
          <w:lang w:eastAsia="en-US"/>
        </w:rPr>
        <w:t xml:space="preserve">Public Summary Document </w:t>
      </w:r>
    </w:p>
    <w:p w14:paraId="3CD32D48" w14:textId="2B21EE68" w:rsidR="00762925" w:rsidRPr="00CE28E3" w:rsidRDefault="00762925" w:rsidP="003E28AF">
      <w:pPr>
        <w:pStyle w:val="Subtitle"/>
        <w:spacing w:after="360"/>
      </w:pPr>
      <w:r w:rsidRPr="00CE28E3">
        <w:t xml:space="preserve">Application No. </w:t>
      </w:r>
      <w:r w:rsidRPr="00C633D3">
        <w:t>1709 Somatic gene testing for the diagnosis of glioma, including glioblastoma</w:t>
      </w:r>
    </w:p>
    <w:p w14:paraId="0C7D06E4" w14:textId="77777777" w:rsidR="00762925" w:rsidRPr="003E28AF" w:rsidRDefault="00762925" w:rsidP="00762925">
      <w:pPr>
        <w:tabs>
          <w:tab w:val="left" w:pos="3686"/>
        </w:tabs>
        <w:spacing w:after="240"/>
        <w:rPr>
          <w:rFonts w:ascii="Arial" w:hAnsi="Arial" w:cs="Arial"/>
          <w:b/>
          <w:sz w:val="22"/>
          <w:szCs w:val="22"/>
        </w:rPr>
      </w:pPr>
      <w:r w:rsidRPr="003E28AF">
        <w:rPr>
          <w:rFonts w:ascii="Arial" w:hAnsi="Arial" w:cs="Arial"/>
          <w:b/>
          <w:sz w:val="22"/>
          <w:szCs w:val="22"/>
        </w:rPr>
        <w:t>Applicant:</w:t>
      </w:r>
      <w:r w:rsidRPr="003E28AF">
        <w:rPr>
          <w:rFonts w:ascii="Arial" w:hAnsi="Arial" w:cs="Arial"/>
          <w:b/>
          <w:sz w:val="22"/>
          <w:szCs w:val="22"/>
        </w:rPr>
        <w:tab/>
        <w:t>Royal College of Pathologists of Australasia</w:t>
      </w:r>
    </w:p>
    <w:p w14:paraId="337E033D" w14:textId="6B12DF2F" w:rsidR="00762925" w:rsidRPr="003E28AF" w:rsidRDefault="00762925" w:rsidP="00F94444">
      <w:pPr>
        <w:tabs>
          <w:tab w:val="left" w:pos="3686"/>
        </w:tabs>
        <w:spacing w:after="360"/>
        <w:rPr>
          <w:rFonts w:ascii="Arial" w:hAnsi="Arial" w:cs="Arial"/>
          <w:b/>
          <w:sz w:val="22"/>
          <w:szCs w:val="22"/>
          <w:highlight w:val="cyan"/>
        </w:rPr>
      </w:pPr>
      <w:r w:rsidRPr="003E28AF">
        <w:rPr>
          <w:rFonts w:ascii="Arial" w:hAnsi="Arial" w:cs="Arial"/>
          <w:b/>
          <w:sz w:val="22"/>
          <w:szCs w:val="22"/>
        </w:rPr>
        <w:t>Date of MSAC consideration:</w:t>
      </w:r>
      <w:r w:rsidRPr="003E28AF">
        <w:rPr>
          <w:rFonts w:ascii="Arial" w:hAnsi="Arial" w:cs="Arial"/>
          <w:b/>
          <w:sz w:val="22"/>
          <w:szCs w:val="22"/>
        </w:rPr>
        <w:tab/>
        <w:t>MSAC 84th Meeting, 31 March - 1 April 2022</w:t>
      </w:r>
    </w:p>
    <w:p w14:paraId="3D60C6AD" w14:textId="77777777" w:rsidR="00762925" w:rsidRDefault="00762925" w:rsidP="00F94444">
      <w:pPr>
        <w:pStyle w:val="Heading2"/>
        <w:numPr>
          <w:ilvl w:val="0"/>
          <w:numId w:val="0"/>
        </w:numPr>
      </w:pPr>
      <w:bookmarkStart w:id="0" w:name="_Toc97723459"/>
      <w:r>
        <w:t>1.</w:t>
      </w:r>
      <w:r>
        <w:tab/>
      </w:r>
      <w:r w:rsidRPr="00CE28E3">
        <w:t xml:space="preserve">Purpose </w:t>
      </w:r>
      <w:r w:rsidRPr="00CE28E3">
        <w:rPr>
          <w:szCs w:val="32"/>
        </w:rPr>
        <w:t>of</w:t>
      </w:r>
      <w:r w:rsidRPr="00CE28E3">
        <w:t xml:space="preserve"> application</w:t>
      </w:r>
      <w:bookmarkStart w:id="1" w:name="_Hlk69734469"/>
      <w:bookmarkEnd w:id="0"/>
    </w:p>
    <w:p w14:paraId="44B2A866" w14:textId="0E38218E" w:rsidR="00762925" w:rsidRDefault="00762925" w:rsidP="00762925">
      <w:pPr>
        <w:spacing w:after="240"/>
        <w:jc w:val="both"/>
        <w:rPr>
          <w:rFonts w:ascii="Franklin Gothic Book" w:hAnsi="Franklin Gothic Book" w:cstheme="minorHAnsi"/>
          <w:iCs/>
          <w:sz w:val="22"/>
          <w:szCs w:val="22"/>
        </w:rPr>
      </w:pPr>
      <w:r w:rsidRPr="00353EE3">
        <w:rPr>
          <w:rFonts w:ascii="Franklin Gothic Book" w:hAnsi="Franklin Gothic Book" w:cstheme="minorHAnsi"/>
          <w:iCs/>
          <w:sz w:val="22"/>
          <w:szCs w:val="22"/>
        </w:rPr>
        <w:t>An application requesting Medicare Benefits Schedule (MBS) listing of a somatic gene panel test for the diagnosis of glioma, including glioblastoma</w:t>
      </w:r>
      <w:r>
        <w:rPr>
          <w:rFonts w:ascii="Franklin Gothic Book" w:hAnsi="Franklin Gothic Book" w:cstheme="minorHAnsi"/>
          <w:iCs/>
          <w:sz w:val="22"/>
          <w:szCs w:val="22"/>
        </w:rPr>
        <w:t>,</w:t>
      </w:r>
      <w:r w:rsidRPr="00353EE3">
        <w:rPr>
          <w:rFonts w:ascii="Franklin Gothic Book" w:hAnsi="Franklin Gothic Book" w:cstheme="minorHAnsi"/>
          <w:iCs/>
          <w:sz w:val="22"/>
          <w:szCs w:val="22"/>
        </w:rPr>
        <w:t xml:space="preserve"> was received from the Royal College of Pathologists of Australasia (RCPA) by the Department of Health.</w:t>
      </w:r>
    </w:p>
    <w:p w14:paraId="1A6BF524" w14:textId="6618C90C" w:rsidR="001315CE" w:rsidRDefault="001315CE" w:rsidP="001315CE">
      <w:pPr>
        <w:pStyle w:val="Heading2"/>
        <w:numPr>
          <w:ilvl w:val="0"/>
          <w:numId w:val="0"/>
        </w:numPr>
      </w:pPr>
      <w:r w:rsidRPr="001315CE">
        <w:t>2.</w:t>
      </w:r>
      <w:r w:rsidRPr="001315CE">
        <w:tab/>
        <w:t>MSAC’s advice to the Minister</w:t>
      </w:r>
    </w:p>
    <w:p w14:paraId="13A78795" w14:textId="2D501978" w:rsidR="00027042" w:rsidRPr="00027042" w:rsidRDefault="00027042" w:rsidP="00027042">
      <w:pPr>
        <w:spacing w:after="240"/>
        <w:jc w:val="both"/>
        <w:rPr>
          <w:rFonts w:ascii="Franklin Gothic Book" w:hAnsi="Franklin Gothic Book" w:cstheme="minorHAnsi"/>
          <w:iCs/>
          <w:sz w:val="22"/>
          <w:szCs w:val="22"/>
        </w:rPr>
      </w:pPr>
      <w:r w:rsidRPr="00027042">
        <w:rPr>
          <w:rFonts w:ascii="Franklin Gothic Book" w:hAnsi="Franklin Gothic Book" w:cstheme="minorHAnsi"/>
          <w:iCs/>
          <w:sz w:val="22"/>
          <w:szCs w:val="22"/>
        </w:rPr>
        <w:t xml:space="preserve">After considering the strength of the available evidence in relation to comparative safety, clinical effectiveness and cost-effectiveness, MSAC supported the creation of a new Medicare Benefits Schedule (MBS) item for a somatic gene panel test for </w:t>
      </w:r>
      <w:r w:rsidR="001A3B43">
        <w:rPr>
          <w:rFonts w:ascii="Franklin Gothic Book" w:hAnsi="Franklin Gothic Book" w:cstheme="minorHAnsi"/>
          <w:iCs/>
          <w:sz w:val="22"/>
          <w:szCs w:val="22"/>
        </w:rPr>
        <w:t xml:space="preserve">characterisation of variants including </w:t>
      </w:r>
      <w:r w:rsidRPr="00027042">
        <w:rPr>
          <w:rFonts w:ascii="Franklin Gothic Book" w:hAnsi="Franklin Gothic Book" w:cstheme="minorHAnsi"/>
          <w:iCs/>
          <w:sz w:val="22"/>
          <w:szCs w:val="22"/>
        </w:rPr>
        <w:t xml:space="preserve">single nucleotide variants, structural variants, fusions and copy number alterations in the initial diagnosis, and at relapse, of patients presenting with morphological features of glioma, </w:t>
      </w:r>
      <w:r w:rsidR="003B72B7">
        <w:rPr>
          <w:rFonts w:ascii="Franklin Gothic Book" w:hAnsi="Franklin Gothic Book" w:cstheme="minorHAnsi"/>
          <w:iCs/>
          <w:sz w:val="22"/>
          <w:szCs w:val="22"/>
        </w:rPr>
        <w:t>glioneuronal</w:t>
      </w:r>
      <w:r w:rsidRPr="00027042">
        <w:rPr>
          <w:rFonts w:ascii="Franklin Gothic Book" w:hAnsi="Franklin Gothic Book" w:cstheme="minorHAnsi"/>
          <w:iCs/>
          <w:sz w:val="22"/>
          <w:szCs w:val="22"/>
        </w:rPr>
        <w:t xml:space="preserve"> tumours or glioblastoma. MSAC advised the proposed gene panel is safe, allows diagnosis that integrates molecular profiling and morpholog</w:t>
      </w:r>
      <w:r w:rsidR="007542A7">
        <w:rPr>
          <w:rFonts w:ascii="Franklin Gothic Book" w:hAnsi="Franklin Gothic Book" w:cstheme="minorHAnsi"/>
          <w:iCs/>
          <w:sz w:val="22"/>
          <w:szCs w:val="22"/>
        </w:rPr>
        <w:t>ical assessment</w:t>
      </w:r>
      <w:r w:rsidRPr="00027042">
        <w:rPr>
          <w:rFonts w:ascii="Franklin Gothic Book" w:hAnsi="Franklin Gothic Book" w:cstheme="minorHAnsi"/>
          <w:iCs/>
          <w:sz w:val="22"/>
          <w:szCs w:val="22"/>
        </w:rPr>
        <w:t xml:space="preserve">, is likely cost-effective, and would have small budget implications with a low risk of </w:t>
      </w:r>
      <w:r w:rsidR="00FD0ED0">
        <w:rPr>
          <w:rFonts w:ascii="Franklin Gothic Book" w:hAnsi="Franklin Gothic Book" w:cstheme="minorHAnsi"/>
          <w:iCs/>
          <w:sz w:val="22"/>
          <w:szCs w:val="22"/>
        </w:rPr>
        <w:t>utilisation outside the proposed clinical indication</w:t>
      </w:r>
      <w:r w:rsidRPr="00027042">
        <w:rPr>
          <w:rFonts w:ascii="Franklin Gothic Book" w:hAnsi="Franklin Gothic Book" w:cstheme="minorHAnsi"/>
          <w:iCs/>
          <w:sz w:val="22"/>
          <w:szCs w:val="22"/>
        </w:rPr>
        <w:t xml:space="preserve"> as the patient population is well defined.</w:t>
      </w:r>
    </w:p>
    <w:p w14:paraId="1D0910A9" w14:textId="48FB3D56" w:rsidR="00027042" w:rsidRPr="00027042" w:rsidRDefault="00027042" w:rsidP="00027042">
      <w:pPr>
        <w:spacing w:after="240"/>
        <w:jc w:val="both"/>
        <w:rPr>
          <w:rFonts w:ascii="Franklin Gothic Book" w:hAnsi="Franklin Gothic Book" w:cstheme="minorHAnsi"/>
          <w:iCs/>
          <w:sz w:val="22"/>
          <w:szCs w:val="22"/>
        </w:rPr>
      </w:pPr>
      <w:r w:rsidRPr="00027042">
        <w:rPr>
          <w:rFonts w:ascii="Franklin Gothic Book" w:hAnsi="Franklin Gothic Book" w:cstheme="minorHAnsi"/>
          <w:iCs/>
          <w:sz w:val="22"/>
          <w:szCs w:val="22"/>
        </w:rPr>
        <w:t>MSAC advised that MBS item</w:t>
      </w:r>
      <w:r w:rsidR="00B21AB3">
        <w:rPr>
          <w:rFonts w:ascii="Franklin Gothic Book" w:hAnsi="Franklin Gothic Book" w:cstheme="minorHAnsi"/>
          <w:iCs/>
          <w:sz w:val="22"/>
          <w:szCs w:val="22"/>
        </w:rPr>
        <w:t>s</w:t>
      </w:r>
      <w:r w:rsidRPr="00027042">
        <w:rPr>
          <w:rFonts w:ascii="Franklin Gothic Book" w:hAnsi="Franklin Gothic Book" w:cstheme="minorHAnsi"/>
          <w:iCs/>
          <w:sz w:val="22"/>
          <w:szCs w:val="22"/>
        </w:rPr>
        <w:t xml:space="preserve"> 73371 and 73372, which are single gene items used in the diagnostic work-up of gliomas, should be phased out no more than 12 months after introduction of the </w:t>
      </w:r>
      <w:r w:rsidR="00FD0ED0">
        <w:rPr>
          <w:rFonts w:ascii="Franklin Gothic Book" w:hAnsi="Franklin Gothic Book" w:cstheme="minorHAnsi"/>
          <w:iCs/>
          <w:sz w:val="22"/>
          <w:szCs w:val="22"/>
        </w:rPr>
        <w:t xml:space="preserve">newly </w:t>
      </w:r>
      <w:r w:rsidRPr="00027042">
        <w:rPr>
          <w:rFonts w:ascii="Franklin Gothic Book" w:hAnsi="Franklin Gothic Book" w:cstheme="minorHAnsi"/>
          <w:iCs/>
          <w:sz w:val="22"/>
          <w:szCs w:val="22"/>
        </w:rPr>
        <w:t xml:space="preserve">supported item. </w:t>
      </w:r>
      <w:r w:rsidR="00B21AB3">
        <w:rPr>
          <w:rFonts w:ascii="Franklin Gothic Book" w:hAnsi="Franklin Gothic Book" w:cstheme="minorHAnsi"/>
          <w:iCs/>
          <w:sz w:val="22"/>
          <w:szCs w:val="22"/>
        </w:rPr>
        <w:t>MSAC advised t</w:t>
      </w:r>
      <w:r w:rsidRPr="00027042">
        <w:rPr>
          <w:rFonts w:ascii="Franklin Gothic Book" w:hAnsi="Franklin Gothic Book" w:cstheme="minorHAnsi"/>
          <w:iCs/>
          <w:sz w:val="22"/>
          <w:szCs w:val="22"/>
        </w:rPr>
        <w:t>he Department should consult further with the Royal College of Pathologists</w:t>
      </w:r>
      <w:r w:rsidR="00B21AB3">
        <w:rPr>
          <w:rFonts w:ascii="Franklin Gothic Book" w:hAnsi="Franklin Gothic Book" w:cstheme="minorHAnsi"/>
          <w:iCs/>
          <w:sz w:val="22"/>
          <w:szCs w:val="22"/>
        </w:rPr>
        <w:t xml:space="preserve"> of</w:t>
      </w:r>
      <w:r w:rsidRPr="00027042">
        <w:rPr>
          <w:rFonts w:ascii="Franklin Gothic Book" w:hAnsi="Franklin Gothic Book" w:cstheme="minorHAnsi"/>
          <w:iCs/>
          <w:sz w:val="22"/>
          <w:szCs w:val="22"/>
        </w:rPr>
        <w:t xml:space="preserve"> Australasia (RCPA) and pathology providers before recommending the removal of 73371 and 73372 to the Minister. </w:t>
      </w:r>
    </w:p>
    <w:p w14:paraId="5561C340" w14:textId="133EF43C" w:rsidR="00027042" w:rsidRPr="00027042" w:rsidRDefault="00027042" w:rsidP="00027042">
      <w:pPr>
        <w:spacing w:after="240"/>
        <w:jc w:val="both"/>
        <w:rPr>
          <w:rFonts w:ascii="Franklin Gothic Book" w:hAnsi="Franklin Gothic Book" w:cstheme="minorHAnsi"/>
          <w:iCs/>
          <w:sz w:val="22"/>
          <w:szCs w:val="22"/>
        </w:rPr>
      </w:pPr>
      <w:r w:rsidRPr="00027042">
        <w:rPr>
          <w:rFonts w:ascii="Franklin Gothic Book" w:hAnsi="Franklin Gothic Book" w:cstheme="minorHAnsi"/>
          <w:iCs/>
          <w:sz w:val="22"/>
          <w:szCs w:val="22"/>
        </w:rPr>
        <w:t xml:space="preserve">MSAC advised that the use of </w:t>
      </w:r>
      <w:r w:rsidR="00EA7D85">
        <w:rPr>
          <w:rFonts w:ascii="Franklin Gothic Book" w:hAnsi="Franklin Gothic Book" w:cstheme="minorHAnsi"/>
          <w:iCs/>
          <w:sz w:val="22"/>
          <w:szCs w:val="22"/>
        </w:rPr>
        <w:t xml:space="preserve">a diagnostic </w:t>
      </w:r>
      <w:r w:rsidRPr="00027042">
        <w:rPr>
          <w:rFonts w:ascii="Franklin Gothic Book" w:hAnsi="Franklin Gothic Book" w:cstheme="minorHAnsi"/>
          <w:iCs/>
          <w:sz w:val="22"/>
          <w:szCs w:val="22"/>
        </w:rPr>
        <w:t xml:space="preserve">genetic panel for gliomas for the </w:t>
      </w:r>
      <w:r w:rsidR="00764AB8">
        <w:rPr>
          <w:rFonts w:ascii="Franklin Gothic Book" w:hAnsi="Franklin Gothic Book" w:cstheme="minorHAnsi"/>
          <w:iCs/>
          <w:sz w:val="22"/>
          <w:szCs w:val="22"/>
        </w:rPr>
        <w:t xml:space="preserve">additional </w:t>
      </w:r>
      <w:r w:rsidRPr="00027042">
        <w:rPr>
          <w:rFonts w:ascii="Franklin Gothic Book" w:hAnsi="Franklin Gothic Book" w:cstheme="minorHAnsi"/>
          <w:iCs/>
          <w:sz w:val="22"/>
          <w:szCs w:val="22"/>
        </w:rPr>
        <w:t>purpose</w:t>
      </w:r>
      <w:r w:rsidR="00F4574D">
        <w:rPr>
          <w:rFonts w:ascii="Franklin Gothic Book" w:hAnsi="Franklin Gothic Book" w:cstheme="minorHAnsi"/>
          <w:iCs/>
          <w:sz w:val="22"/>
          <w:szCs w:val="22"/>
        </w:rPr>
        <w:t>s</w:t>
      </w:r>
      <w:r w:rsidRPr="00027042">
        <w:rPr>
          <w:rFonts w:ascii="Franklin Gothic Book" w:hAnsi="Franklin Gothic Book" w:cstheme="minorHAnsi"/>
          <w:iCs/>
          <w:sz w:val="22"/>
          <w:szCs w:val="22"/>
        </w:rPr>
        <w:t xml:space="preserve"> of prognostication </w:t>
      </w:r>
      <w:r w:rsidR="005738DC">
        <w:rPr>
          <w:rFonts w:ascii="Franklin Gothic Book" w:hAnsi="Franklin Gothic Book" w:cstheme="minorHAnsi"/>
          <w:iCs/>
          <w:sz w:val="22"/>
          <w:szCs w:val="22"/>
        </w:rPr>
        <w:t>and/</w:t>
      </w:r>
      <w:r w:rsidRPr="00027042">
        <w:rPr>
          <w:rFonts w:ascii="Franklin Gothic Book" w:hAnsi="Franklin Gothic Book" w:cstheme="minorHAnsi"/>
          <w:iCs/>
          <w:sz w:val="22"/>
          <w:szCs w:val="22"/>
        </w:rPr>
        <w:t xml:space="preserve">or determining </w:t>
      </w:r>
      <w:r w:rsidR="00DD013A">
        <w:rPr>
          <w:rFonts w:ascii="Franklin Gothic Book" w:hAnsi="Franklin Gothic Book" w:cstheme="minorHAnsi"/>
          <w:iCs/>
          <w:sz w:val="22"/>
          <w:szCs w:val="22"/>
        </w:rPr>
        <w:t>predictive</w:t>
      </w:r>
      <w:r w:rsidR="00DD013A" w:rsidRPr="00027042">
        <w:rPr>
          <w:rFonts w:ascii="Franklin Gothic Book" w:hAnsi="Franklin Gothic Book" w:cstheme="minorHAnsi"/>
          <w:iCs/>
          <w:sz w:val="22"/>
          <w:szCs w:val="22"/>
        </w:rPr>
        <w:t xml:space="preserve"> </w:t>
      </w:r>
      <w:r w:rsidRPr="00027042">
        <w:rPr>
          <w:rFonts w:ascii="Franklin Gothic Book" w:hAnsi="Franklin Gothic Book" w:cstheme="minorHAnsi"/>
          <w:iCs/>
          <w:sz w:val="22"/>
          <w:szCs w:val="22"/>
        </w:rPr>
        <w:t>targets may require a larger panel that would require further consideration through the MSAC process.</w:t>
      </w:r>
    </w:p>
    <w:tbl>
      <w:tblPr>
        <w:tblStyle w:val="TableGrid"/>
        <w:tblW w:w="0" w:type="auto"/>
        <w:tblLook w:val="04A0" w:firstRow="1" w:lastRow="0" w:firstColumn="1" w:lastColumn="0" w:noHBand="0" w:noVBand="1"/>
        <w:tblDescription w:val="Consumer summary of MSAC consideration"/>
      </w:tblPr>
      <w:tblGrid>
        <w:gridCol w:w="9016"/>
      </w:tblGrid>
      <w:tr w:rsidR="001315CE" w:rsidRPr="00EA5B5B" w14:paraId="39D27BCE" w14:textId="77777777" w:rsidTr="001315CE">
        <w:trPr>
          <w:tblHeader/>
        </w:trPr>
        <w:tc>
          <w:tcPr>
            <w:tcW w:w="9016" w:type="dxa"/>
          </w:tcPr>
          <w:p w14:paraId="50C53D6E" w14:textId="77777777" w:rsidR="001315CE" w:rsidRPr="001315CE" w:rsidRDefault="001315CE" w:rsidP="001315CE">
            <w:pPr>
              <w:keepNext/>
              <w:keepLines/>
              <w:tabs>
                <w:tab w:val="left" w:pos="851"/>
              </w:tabs>
              <w:spacing w:before="120" w:after="120"/>
              <w:outlineLvl w:val="2"/>
              <w:rPr>
                <w:rFonts w:ascii="Franklin Gothic Book" w:eastAsia="Calibri" w:hAnsi="Franklin Gothic Book"/>
                <w:b/>
                <w:bCs/>
                <w:iCs/>
                <w:szCs w:val="22"/>
                <w:lang w:eastAsia="en-US"/>
              </w:rPr>
            </w:pPr>
            <w:r w:rsidRPr="001315CE">
              <w:rPr>
                <w:rFonts w:ascii="Franklin Gothic Medium" w:eastAsia="SimSun" w:hAnsi="Franklin Gothic Medium"/>
                <w:b/>
                <w:bCs/>
                <w:szCs w:val="22"/>
                <w:lang w:eastAsia="en-US"/>
              </w:rPr>
              <w:t>Consumer summary</w:t>
            </w:r>
          </w:p>
        </w:tc>
      </w:tr>
      <w:tr w:rsidR="001315CE" w:rsidRPr="00EA5B5B" w14:paraId="7530A84C" w14:textId="77777777" w:rsidTr="001315CE">
        <w:tc>
          <w:tcPr>
            <w:tcW w:w="9016" w:type="dxa"/>
          </w:tcPr>
          <w:p w14:paraId="41E40D23" w14:textId="50FF4AFB" w:rsidR="00027042" w:rsidRPr="00855EE2" w:rsidRDefault="00027042" w:rsidP="00855EE2">
            <w:pPr>
              <w:spacing w:before="120" w:after="240"/>
              <w:jc w:val="both"/>
              <w:rPr>
                <w:rFonts w:ascii="Franklin Gothic Book" w:hAnsi="Franklin Gothic Book" w:cstheme="minorHAnsi"/>
                <w:iCs/>
                <w:sz w:val="22"/>
                <w:szCs w:val="22"/>
              </w:rPr>
            </w:pPr>
            <w:r w:rsidRPr="00855EE2">
              <w:rPr>
                <w:rFonts w:ascii="Franklin Gothic Book" w:hAnsi="Franklin Gothic Book" w:cstheme="minorHAnsi"/>
                <w:iCs/>
                <w:sz w:val="22"/>
                <w:szCs w:val="22"/>
              </w:rPr>
              <w:t>This application from the Royal College of Pathologists of Australasia was for the Medicare Benefits Schedule (MBS) listing of a gene panel test for the diagnosis of</w:t>
            </w:r>
            <w:r w:rsidR="005738DC">
              <w:rPr>
                <w:rFonts w:ascii="Franklin Gothic Book" w:hAnsi="Franklin Gothic Book" w:cstheme="minorHAnsi"/>
                <w:iCs/>
                <w:sz w:val="22"/>
                <w:szCs w:val="22"/>
              </w:rPr>
              <w:t xml:space="preserve"> brain cancers called</w:t>
            </w:r>
            <w:r w:rsidRPr="00855EE2">
              <w:rPr>
                <w:rFonts w:ascii="Franklin Gothic Book" w:hAnsi="Franklin Gothic Book" w:cstheme="minorHAnsi"/>
                <w:iCs/>
                <w:sz w:val="22"/>
                <w:szCs w:val="22"/>
              </w:rPr>
              <w:t xml:space="preserve"> glioma</w:t>
            </w:r>
            <w:r w:rsidR="00930B8A">
              <w:rPr>
                <w:rFonts w:ascii="Franklin Gothic Book" w:hAnsi="Franklin Gothic Book" w:cstheme="minorHAnsi"/>
                <w:iCs/>
                <w:sz w:val="22"/>
                <w:szCs w:val="22"/>
              </w:rPr>
              <w:t>s</w:t>
            </w:r>
            <w:r w:rsidRPr="00855EE2">
              <w:rPr>
                <w:rFonts w:ascii="Franklin Gothic Book" w:hAnsi="Franklin Gothic Book" w:cstheme="minorHAnsi"/>
                <w:iCs/>
                <w:sz w:val="22"/>
                <w:szCs w:val="22"/>
              </w:rPr>
              <w:t xml:space="preserve">, </w:t>
            </w:r>
            <w:r w:rsidR="00930B8A">
              <w:rPr>
                <w:rFonts w:ascii="Franklin Gothic Book" w:hAnsi="Franklin Gothic Book" w:cstheme="minorHAnsi"/>
                <w:iCs/>
                <w:sz w:val="22"/>
                <w:szCs w:val="22"/>
              </w:rPr>
              <w:t>which include</w:t>
            </w:r>
            <w:r w:rsidRPr="00855EE2">
              <w:rPr>
                <w:rFonts w:ascii="Franklin Gothic Book" w:hAnsi="Franklin Gothic Book" w:cstheme="minorHAnsi"/>
                <w:iCs/>
                <w:sz w:val="22"/>
                <w:szCs w:val="22"/>
              </w:rPr>
              <w:t xml:space="preserve"> glioblastoma</w:t>
            </w:r>
            <w:r w:rsidR="00B21AB3">
              <w:rPr>
                <w:rFonts w:ascii="Franklin Gothic Book" w:hAnsi="Franklin Gothic Book" w:cstheme="minorHAnsi"/>
                <w:iCs/>
                <w:sz w:val="22"/>
                <w:szCs w:val="22"/>
              </w:rPr>
              <w:t>s</w:t>
            </w:r>
            <w:r w:rsidR="001752AA">
              <w:rPr>
                <w:rFonts w:ascii="Franklin Gothic Book" w:hAnsi="Franklin Gothic Book" w:cstheme="minorHAnsi"/>
                <w:iCs/>
                <w:sz w:val="22"/>
                <w:szCs w:val="22"/>
              </w:rPr>
              <w:t xml:space="preserve"> and glioneuronal tumours</w:t>
            </w:r>
            <w:r w:rsidRPr="00855EE2">
              <w:rPr>
                <w:rFonts w:ascii="Franklin Gothic Book" w:hAnsi="Franklin Gothic Book" w:cstheme="minorHAnsi"/>
                <w:iCs/>
                <w:sz w:val="22"/>
                <w:szCs w:val="22"/>
              </w:rPr>
              <w:t>.</w:t>
            </w:r>
            <w:r w:rsidR="00930B8A">
              <w:rPr>
                <w:rFonts w:ascii="Franklin Gothic Book" w:hAnsi="Franklin Gothic Book" w:cstheme="minorHAnsi"/>
                <w:iCs/>
                <w:sz w:val="22"/>
                <w:szCs w:val="22"/>
              </w:rPr>
              <w:t xml:space="preserve"> </w:t>
            </w:r>
            <w:r w:rsidR="003B2953" w:rsidRPr="003B2953">
              <w:rPr>
                <w:rFonts w:ascii="Franklin Gothic Book" w:hAnsi="Franklin Gothic Book" w:cstheme="minorHAnsi"/>
                <w:iCs/>
                <w:sz w:val="22"/>
                <w:szCs w:val="22"/>
              </w:rPr>
              <w:t xml:space="preserve">The brain and rest of the central nervous system are made up of different types of cells: neurons, which transmit information, </w:t>
            </w:r>
            <w:r w:rsidR="003B2953" w:rsidRPr="003B2953">
              <w:rPr>
                <w:rFonts w:ascii="Franklin Gothic Book" w:hAnsi="Franklin Gothic Book" w:cstheme="minorHAnsi"/>
                <w:iCs/>
                <w:sz w:val="22"/>
                <w:szCs w:val="22"/>
              </w:rPr>
              <w:lastRenderedPageBreak/>
              <w:t>and glial cells that surround and support the neurons. Cancer of the glial cells is called glioma. Astrocytes are one type of glial cell: cancer in astrocytes is called glioblastoma, an aggressive type of cancer and the most common type of glioma. Other types of glial cells that can become cancerous are oligodendrocytes (causing oligodendrogliomas) and ependymal cells (causing ependymomas). Glioneuronal tumours are a rare type of cancer where a mixture of neurons and glial cells become cancerous.</w:t>
            </w:r>
          </w:p>
          <w:p w14:paraId="64D8DDB1" w14:textId="7535DB0B" w:rsidR="00027042" w:rsidRPr="00855EE2" w:rsidRDefault="00027042" w:rsidP="00855EE2">
            <w:pPr>
              <w:spacing w:after="240"/>
              <w:jc w:val="both"/>
              <w:rPr>
                <w:rFonts w:ascii="Franklin Gothic Book" w:hAnsi="Franklin Gothic Book" w:cstheme="minorHAnsi"/>
                <w:iCs/>
                <w:sz w:val="22"/>
                <w:szCs w:val="22"/>
              </w:rPr>
            </w:pPr>
            <w:r w:rsidRPr="00855EE2">
              <w:rPr>
                <w:rFonts w:ascii="Franklin Gothic Book" w:hAnsi="Franklin Gothic Book" w:cstheme="minorHAnsi"/>
                <w:iCs/>
                <w:sz w:val="22"/>
                <w:szCs w:val="22"/>
              </w:rPr>
              <w:t xml:space="preserve">In 2021, the World Health Organization recommended </w:t>
            </w:r>
            <w:r w:rsidR="00B21AB3">
              <w:rPr>
                <w:rFonts w:ascii="Franklin Gothic Book" w:hAnsi="Franklin Gothic Book" w:cstheme="minorHAnsi"/>
                <w:iCs/>
                <w:sz w:val="22"/>
                <w:szCs w:val="22"/>
              </w:rPr>
              <w:t>adding</w:t>
            </w:r>
            <w:r w:rsidR="00B21AB3" w:rsidRPr="00855EE2">
              <w:rPr>
                <w:rFonts w:ascii="Franklin Gothic Book" w:hAnsi="Franklin Gothic Book" w:cstheme="minorHAnsi"/>
                <w:iCs/>
                <w:sz w:val="22"/>
                <w:szCs w:val="22"/>
              </w:rPr>
              <w:t xml:space="preserve"> </w:t>
            </w:r>
            <w:r w:rsidRPr="00855EE2">
              <w:rPr>
                <w:rFonts w:ascii="Franklin Gothic Book" w:hAnsi="Franklin Gothic Book" w:cstheme="minorHAnsi"/>
                <w:iCs/>
                <w:sz w:val="22"/>
                <w:szCs w:val="22"/>
              </w:rPr>
              <w:t xml:space="preserve">genetic testing </w:t>
            </w:r>
            <w:r w:rsidR="00D249F4">
              <w:rPr>
                <w:rFonts w:ascii="Franklin Gothic Book" w:hAnsi="Franklin Gothic Book" w:cstheme="minorHAnsi"/>
                <w:iCs/>
                <w:sz w:val="22"/>
                <w:szCs w:val="22"/>
              </w:rPr>
              <w:t xml:space="preserve">for specific genes </w:t>
            </w:r>
            <w:r w:rsidRPr="00855EE2">
              <w:rPr>
                <w:rFonts w:ascii="Franklin Gothic Book" w:hAnsi="Franklin Gothic Book" w:cstheme="minorHAnsi"/>
                <w:iCs/>
                <w:sz w:val="22"/>
                <w:szCs w:val="22"/>
              </w:rPr>
              <w:t xml:space="preserve">to </w:t>
            </w:r>
            <w:r w:rsidR="005738DC">
              <w:rPr>
                <w:rFonts w:ascii="Franklin Gothic Book" w:hAnsi="Franklin Gothic Book" w:cstheme="minorHAnsi"/>
                <w:iCs/>
                <w:sz w:val="22"/>
                <w:szCs w:val="22"/>
              </w:rPr>
              <w:t xml:space="preserve">aid in the </w:t>
            </w:r>
            <w:r w:rsidRPr="00855EE2">
              <w:rPr>
                <w:rFonts w:ascii="Franklin Gothic Book" w:hAnsi="Franklin Gothic Book" w:cstheme="minorHAnsi"/>
                <w:iCs/>
                <w:sz w:val="22"/>
                <w:szCs w:val="22"/>
              </w:rPr>
              <w:t>diagnos</w:t>
            </w:r>
            <w:r w:rsidR="005738DC">
              <w:rPr>
                <w:rFonts w:ascii="Franklin Gothic Book" w:hAnsi="Franklin Gothic Book" w:cstheme="minorHAnsi"/>
                <w:iCs/>
                <w:sz w:val="22"/>
                <w:szCs w:val="22"/>
              </w:rPr>
              <w:t>is</w:t>
            </w:r>
            <w:r w:rsidRPr="00855EE2">
              <w:rPr>
                <w:rFonts w:ascii="Franklin Gothic Book" w:hAnsi="Franklin Gothic Book" w:cstheme="minorHAnsi"/>
                <w:iCs/>
                <w:sz w:val="22"/>
                <w:szCs w:val="22"/>
              </w:rPr>
              <w:t xml:space="preserve"> and </w:t>
            </w:r>
            <w:r w:rsidR="00D249F4">
              <w:rPr>
                <w:rFonts w:ascii="Franklin Gothic Book" w:hAnsi="Franklin Gothic Book" w:cstheme="minorHAnsi"/>
                <w:iCs/>
                <w:sz w:val="22"/>
                <w:szCs w:val="22"/>
              </w:rPr>
              <w:t xml:space="preserve">severity </w:t>
            </w:r>
            <w:r w:rsidRPr="00855EE2">
              <w:rPr>
                <w:rFonts w:ascii="Franklin Gothic Book" w:hAnsi="Franklin Gothic Book" w:cstheme="minorHAnsi"/>
                <w:iCs/>
                <w:sz w:val="22"/>
                <w:szCs w:val="22"/>
              </w:rPr>
              <w:t>grad</w:t>
            </w:r>
            <w:r w:rsidR="005738DC">
              <w:rPr>
                <w:rFonts w:ascii="Franklin Gothic Book" w:hAnsi="Franklin Gothic Book" w:cstheme="minorHAnsi"/>
                <w:iCs/>
                <w:sz w:val="22"/>
                <w:szCs w:val="22"/>
              </w:rPr>
              <w:t>ing</w:t>
            </w:r>
            <w:r w:rsidR="00EC5885">
              <w:rPr>
                <w:rFonts w:ascii="Franklin Gothic Book" w:hAnsi="Franklin Gothic Book" w:cstheme="minorHAnsi"/>
                <w:iCs/>
                <w:sz w:val="22"/>
                <w:szCs w:val="22"/>
              </w:rPr>
              <w:t xml:space="preserve"> </w:t>
            </w:r>
            <w:r w:rsidR="00077117">
              <w:rPr>
                <w:rFonts w:ascii="Franklin Gothic Book" w:hAnsi="Franklin Gothic Book" w:cstheme="minorHAnsi"/>
                <w:iCs/>
                <w:sz w:val="22"/>
                <w:szCs w:val="22"/>
              </w:rPr>
              <w:t>of</w:t>
            </w:r>
            <w:r w:rsidR="00B21AB3">
              <w:rPr>
                <w:rFonts w:ascii="Franklin Gothic Book" w:hAnsi="Franklin Gothic Book" w:cstheme="minorHAnsi"/>
                <w:iCs/>
                <w:sz w:val="22"/>
                <w:szCs w:val="22"/>
              </w:rPr>
              <w:t xml:space="preserve"> brain cancers and other</w:t>
            </w:r>
            <w:r w:rsidR="00077117">
              <w:rPr>
                <w:rFonts w:ascii="Franklin Gothic Book" w:hAnsi="Franklin Gothic Book" w:cstheme="minorHAnsi"/>
                <w:iCs/>
                <w:sz w:val="22"/>
                <w:szCs w:val="22"/>
              </w:rPr>
              <w:t xml:space="preserve"> </w:t>
            </w:r>
            <w:r w:rsidRPr="00855EE2">
              <w:rPr>
                <w:rFonts w:ascii="Franklin Gothic Book" w:hAnsi="Franklin Gothic Book" w:cstheme="minorHAnsi"/>
                <w:iCs/>
                <w:sz w:val="22"/>
                <w:szCs w:val="22"/>
              </w:rPr>
              <w:t>central nervous system cancers</w:t>
            </w:r>
            <w:r w:rsidR="00EB68A2">
              <w:rPr>
                <w:rFonts w:ascii="Franklin Gothic Book" w:hAnsi="Franklin Gothic Book" w:cstheme="minorHAnsi"/>
                <w:iCs/>
                <w:sz w:val="22"/>
                <w:szCs w:val="22"/>
              </w:rPr>
              <w:t xml:space="preserve">. Finding changes in these </w:t>
            </w:r>
            <w:proofErr w:type="gramStart"/>
            <w:r w:rsidR="00EB68A2">
              <w:rPr>
                <w:rFonts w:ascii="Franklin Gothic Book" w:hAnsi="Franklin Gothic Book" w:cstheme="minorHAnsi"/>
                <w:iCs/>
                <w:sz w:val="22"/>
                <w:szCs w:val="22"/>
              </w:rPr>
              <w:t>particular genes</w:t>
            </w:r>
            <w:proofErr w:type="gramEnd"/>
            <w:r w:rsidR="00EB68A2">
              <w:rPr>
                <w:rFonts w:ascii="Franklin Gothic Book" w:hAnsi="Franklin Gothic Book" w:cstheme="minorHAnsi"/>
                <w:iCs/>
                <w:sz w:val="22"/>
                <w:szCs w:val="22"/>
              </w:rPr>
              <w:t xml:space="preserve"> will</w:t>
            </w:r>
            <w:r w:rsidRPr="00855EE2">
              <w:rPr>
                <w:rFonts w:ascii="Franklin Gothic Book" w:hAnsi="Franklin Gothic Book" w:cstheme="minorHAnsi"/>
                <w:iCs/>
                <w:sz w:val="22"/>
                <w:szCs w:val="22"/>
              </w:rPr>
              <w:t xml:space="preserve"> help patients </w:t>
            </w:r>
            <w:r w:rsidR="00261ABA">
              <w:rPr>
                <w:rFonts w:ascii="Franklin Gothic Book" w:hAnsi="Franklin Gothic Book" w:cstheme="minorHAnsi"/>
                <w:iCs/>
                <w:sz w:val="22"/>
                <w:szCs w:val="22"/>
              </w:rPr>
              <w:t xml:space="preserve">and their clinicians better </w:t>
            </w:r>
            <w:r w:rsidR="00B21AB3">
              <w:rPr>
                <w:rFonts w:ascii="Franklin Gothic Book" w:hAnsi="Franklin Gothic Book" w:cstheme="minorHAnsi"/>
                <w:iCs/>
                <w:sz w:val="22"/>
                <w:szCs w:val="22"/>
              </w:rPr>
              <w:t>understand the</w:t>
            </w:r>
            <w:r w:rsidR="00261ABA">
              <w:rPr>
                <w:rFonts w:ascii="Franklin Gothic Book" w:hAnsi="Franklin Gothic Book" w:cstheme="minorHAnsi"/>
                <w:iCs/>
                <w:sz w:val="22"/>
                <w:szCs w:val="22"/>
              </w:rPr>
              <w:t xml:space="preserve"> patient’s</w:t>
            </w:r>
            <w:r w:rsidR="00B21AB3">
              <w:rPr>
                <w:rFonts w:ascii="Franklin Gothic Book" w:hAnsi="Franklin Gothic Book" w:cstheme="minorHAnsi"/>
                <w:iCs/>
                <w:sz w:val="22"/>
                <w:szCs w:val="22"/>
              </w:rPr>
              <w:t xml:space="preserve"> specific type of cancer </w:t>
            </w:r>
            <w:r w:rsidR="00261ABA">
              <w:rPr>
                <w:rFonts w:ascii="Franklin Gothic Book" w:hAnsi="Franklin Gothic Book" w:cstheme="minorHAnsi"/>
                <w:iCs/>
                <w:sz w:val="22"/>
                <w:szCs w:val="22"/>
              </w:rPr>
              <w:t xml:space="preserve">and </w:t>
            </w:r>
            <w:r w:rsidR="00EB68A2">
              <w:rPr>
                <w:rFonts w:ascii="Franklin Gothic Book" w:hAnsi="Franklin Gothic Book" w:cstheme="minorHAnsi"/>
                <w:iCs/>
                <w:sz w:val="22"/>
                <w:szCs w:val="22"/>
              </w:rPr>
              <w:t>how their disease is likely to progress (also called prognosis)</w:t>
            </w:r>
            <w:r w:rsidR="00B21AB3">
              <w:rPr>
                <w:rFonts w:ascii="Franklin Gothic Book" w:hAnsi="Franklin Gothic Book" w:cstheme="minorHAnsi"/>
                <w:iCs/>
                <w:sz w:val="22"/>
                <w:szCs w:val="22"/>
              </w:rPr>
              <w:t xml:space="preserve">, </w:t>
            </w:r>
            <w:r w:rsidRPr="00855EE2">
              <w:rPr>
                <w:rFonts w:ascii="Franklin Gothic Book" w:hAnsi="Franklin Gothic Book" w:cstheme="minorHAnsi"/>
                <w:iCs/>
                <w:sz w:val="22"/>
                <w:szCs w:val="22"/>
              </w:rPr>
              <w:t xml:space="preserve">and </w:t>
            </w:r>
            <w:r w:rsidR="00261ABA">
              <w:rPr>
                <w:rFonts w:ascii="Franklin Gothic Book" w:hAnsi="Franklin Gothic Book" w:cstheme="minorHAnsi"/>
                <w:iCs/>
                <w:sz w:val="22"/>
                <w:szCs w:val="22"/>
              </w:rPr>
              <w:t xml:space="preserve">to </w:t>
            </w:r>
            <w:r w:rsidR="00B21AB3">
              <w:rPr>
                <w:rFonts w:ascii="Franklin Gothic Book" w:hAnsi="Franklin Gothic Book" w:cstheme="minorHAnsi"/>
                <w:iCs/>
                <w:sz w:val="22"/>
                <w:szCs w:val="22"/>
              </w:rPr>
              <w:t xml:space="preserve">achieve the </w:t>
            </w:r>
            <w:r w:rsidRPr="00855EE2">
              <w:rPr>
                <w:rFonts w:ascii="Franklin Gothic Book" w:hAnsi="Franklin Gothic Book" w:cstheme="minorHAnsi"/>
                <w:iCs/>
                <w:sz w:val="22"/>
                <w:szCs w:val="22"/>
              </w:rPr>
              <w:t>best possible outcomes</w:t>
            </w:r>
            <w:r w:rsidR="00261ABA">
              <w:rPr>
                <w:rFonts w:ascii="Franklin Gothic Book" w:hAnsi="Franklin Gothic Book" w:cstheme="minorHAnsi"/>
                <w:iCs/>
                <w:sz w:val="22"/>
                <w:szCs w:val="22"/>
              </w:rPr>
              <w:t>, including potentially identifying an appropriate treatment</w:t>
            </w:r>
            <w:r w:rsidRPr="00855EE2">
              <w:rPr>
                <w:rFonts w:ascii="Franklin Gothic Book" w:hAnsi="Franklin Gothic Book" w:cstheme="minorHAnsi"/>
                <w:iCs/>
                <w:sz w:val="22"/>
                <w:szCs w:val="22"/>
              </w:rPr>
              <w:t>.</w:t>
            </w:r>
          </w:p>
          <w:p w14:paraId="6EBDB14E" w14:textId="627E8844" w:rsidR="00027042" w:rsidRPr="00855EE2" w:rsidRDefault="00027042" w:rsidP="00855EE2">
            <w:pPr>
              <w:spacing w:after="240"/>
              <w:jc w:val="both"/>
              <w:rPr>
                <w:rFonts w:ascii="Franklin Gothic Book" w:hAnsi="Franklin Gothic Book" w:cstheme="minorHAnsi"/>
                <w:iCs/>
                <w:sz w:val="22"/>
                <w:szCs w:val="22"/>
              </w:rPr>
            </w:pPr>
            <w:r w:rsidRPr="00855EE2">
              <w:rPr>
                <w:rFonts w:ascii="Franklin Gothic Book" w:hAnsi="Franklin Gothic Book" w:cstheme="minorHAnsi"/>
                <w:iCs/>
                <w:sz w:val="22"/>
                <w:szCs w:val="22"/>
              </w:rPr>
              <w:t xml:space="preserve">A gene panel test </w:t>
            </w:r>
            <w:r w:rsidR="00B21AB3">
              <w:rPr>
                <w:rFonts w:ascii="Franklin Gothic Book" w:hAnsi="Franklin Gothic Book" w:cstheme="minorHAnsi"/>
                <w:iCs/>
                <w:sz w:val="22"/>
                <w:szCs w:val="22"/>
              </w:rPr>
              <w:t>is where</w:t>
            </w:r>
            <w:r w:rsidRPr="00855EE2">
              <w:rPr>
                <w:rFonts w:ascii="Franklin Gothic Book" w:hAnsi="Franklin Gothic Book" w:cstheme="minorHAnsi"/>
                <w:iCs/>
                <w:sz w:val="22"/>
                <w:szCs w:val="22"/>
              </w:rPr>
              <w:t xml:space="preserve"> the laboratory look</w:t>
            </w:r>
            <w:r w:rsidR="00B21AB3">
              <w:rPr>
                <w:rFonts w:ascii="Franklin Gothic Book" w:hAnsi="Franklin Gothic Book" w:cstheme="minorHAnsi"/>
                <w:iCs/>
                <w:sz w:val="22"/>
                <w:szCs w:val="22"/>
              </w:rPr>
              <w:t>s</w:t>
            </w:r>
            <w:r w:rsidRPr="00855EE2">
              <w:rPr>
                <w:rFonts w:ascii="Franklin Gothic Book" w:hAnsi="Franklin Gothic Book" w:cstheme="minorHAnsi"/>
                <w:iCs/>
                <w:sz w:val="22"/>
                <w:szCs w:val="22"/>
              </w:rPr>
              <w:t xml:space="preserve"> </w:t>
            </w:r>
            <w:r w:rsidR="00261ABA">
              <w:rPr>
                <w:rFonts w:ascii="Franklin Gothic Book" w:hAnsi="Franklin Gothic Book" w:cstheme="minorHAnsi"/>
                <w:iCs/>
                <w:sz w:val="22"/>
                <w:szCs w:val="22"/>
              </w:rPr>
              <w:t>for genetic changes in</w:t>
            </w:r>
            <w:r w:rsidR="00261ABA" w:rsidRPr="00855EE2">
              <w:rPr>
                <w:rFonts w:ascii="Franklin Gothic Book" w:hAnsi="Franklin Gothic Book" w:cstheme="minorHAnsi"/>
                <w:iCs/>
                <w:sz w:val="22"/>
                <w:szCs w:val="22"/>
              </w:rPr>
              <w:t xml:space="preserve"> </w:t>
            </w:r>
            <w:r w:rsidRPr="00855EE2">
              <w:rPr>
                <w:rFonts w:ascii="Franklin Gothic Book" w:hAnsi="Franklin Gothic Book" w:cstheme="minorHAnsi"/>
                <w:iCs/>
                <w:sz w:val="22"/>
                <w:szCs w:val="22"/>
              </w:rPr>
              <w:t>multiple genes at once, rather than looking at genes one at a time</w:t>
            </w:r>
            <w:r w:rsidR="00D249F4">
              <w:rPr>
                <w:rFonts w:ascii="Franklin Gothic Book" w:hAnsi="Franklin Gothic Book" w:cstheme="minorHAnsi"/>
                <w:iCs/>
                <w:sz w:val="22"/>
                <w:szCs w:val="22"/>
              </w:rPr>
              <w:t>,</w:t>
            </w:r>
            <w:r w:rsidR="00EC5885">
              <w:rPr>
                <w:rFonts w:ascii="Franklin Gothic Book" w:hAnsi="Franklin Gothic Book" w:cstheme="minorHAnsi"/>
                <w:iCs/>
                <w:sz w:val="22"/>
                <w:szCs w:val="22"/>
              </w:rPr>
              <w:t xml:space="preserve"> </w:t>
            </w:r>
            <w:r w:rsidR="00B21AB3">
              <w:rPr>
                <w:rFonts w:ascii="Franklin Gothic Book" w:hAnsi="Franklin Gothic Book" w:cstheme="minorHAnsi"/>
                <w:iCs/>
                <w:sz w:val="22"/>
                <w:szCs w:val="22"/>
              </w:rPr>
              <w:t xml:space="preserve">as is </w:t>
            </w:r>
            <w:r w:rsidRPr="00855EE2">
              <w:rPr>
                <w:rFonts w:ascii="Franklin Gothic Book" w:hAnsi="Franklin Gothic Book" w:cstheme="minorHAnsi"/>
                <w:iCs/>
                <w:sz w:val="22"/>
                <w:szCs w:val="22"/>
              </w:rPr>
              <w:t xml:space="preserve">currently </w:t>
            </w:r>
            <w:r w:rsidR="007542A7">
              <w:rPr>
                <w:rFonts w:ascii="Franklin Gothic Book" w:hAnsi="Franklin Gothic Book" w:cstheme="minorHAnsi"/>
                <w:iCs/>
                <w:sz w:val="22"/>
                <w:szCs w:val="22"/>
              </w:rPr>
              <w:t xml:space="preserve">funded </w:t>
            </w:r>
            <w:r w:rsidRPr="00855EE2">
              <w:rPr>
                <w:rFonts w:ascii="Franklin Gothic Book" w:hAnsi="Franklin Gothic Book" w:cstheme="minorHAnsi"/>
                <w:iCs/>
                <w:sz w:val="22"/>
                <w:szCs w:val="22"/>
              </w:rPr>
              <w:t xml:space="preserve">on the MBS. Using a gene panel </w:t>
            </w:r>
            <w:r w:rsidR="00B21AB3">
              <w:rPr>
                <w:rFonts w:ascii="Franklin Gothic Book" w:hAnsi="Franklin Gothic Book" w:cstheme="minorHAnsi"/>
                <w:iCs/>
                <w:sz w:val="22"/>
                <w:szCs w:val="22"/>
              </w:rPr>
              <w:t xml:space="preserve">test </w:t>
            </w:r>
            <w:r w:rsidR="00261ABA">
              <w:rPr>
                <w:rFonts w:ascii="Franklin Gothic Book" w:hAnsi="Franklin Gothic Book" w:cstheme="minorHAnsi"/>
                <w:iCs/>
                <w:sz w:val="22"/>
                <w:szCs w:val="22"/>
              </w:rPr>
              <w:t xml:space="preserve">would be faster and more efficient than testing each gene in </w:t>
            </w:r>
            <w:proofErr w:type="gramStart"/>
            <w:r w:rsidR="00261ABA">
              <w:rPr>
                <w:rFonts w:ascii="Franklin Gothic Book" w:hAnsi="Franklin Gothic Book" w:cstheme="minorHAnsi"/>
                <w:iCs/>
                <w:sz w:val="22"/>
                <w:szCs w:val="22"/>
              </w:rPr>
              <w:t>turn, and</w:t>
            </w:r>
            <w:proofErr w:type="gramEnd"/>
            <w:r w:rsidR="00261ABA">
              <w:rPr>
                <w:rFonts w:ascii="Franklin Gothic Book" w:hAnsi="Franklin Gothic Book" w:cstheme="minorHAnsi"/>
                <w:iCs/>
                <w:sz w:val="22"/>
                <w:szCs w:val="22"/>
              </w:rPr>
              <w:t xml:space="preserve"> will also use up less of the brain cancer sample</w:t>
            </w:r>
            <w:r w:rsidRPr="00855EE2">
              <w:rPr>
                <w:rFonts w:ascii="Franklin Gothic Book" w:hAnsi="Franklin Gothic Book" w:cstheme="minorHAnsi"/>
                <w:iCs/>
                <w:sz w:val="22"/>
                <w:szCs w:val="22"/>
              </w:rPr>
              <w:t>.</w:t>
            </w:r>
          </w:p>
          <w:p w14:paraId="7E47EDA6" w14:textId="2C738D26" w:rsidR="00027042" w:rsidRPr="00855EE2" w:rsidRDefault="00EB68A2" w:rsidP="00855EE2">
            <w:pPr>
              <w:spacing w:after="240"/>
              <w:jc w:val="both"/>
              <w:rPr>
                <w:rFonts w:ascii="Franklin Gothic Book" w:hAnsi="Franklin Gothic Book" w:cstheme="minorHAnsi"/>
                <w:iCs/>
                <w:sz w:val="22"/>
                <w:szCs w:val="22"/>
              </w:rPr>
            </w:pPr>
            <w:r>
              <w:rPr>
                <w:rFonts w:ascii="Franklin Gothic Book" w:hAnsi="Franklin Gothic Book" w:cstheme="minorHAnsi"/>
                <w:iCs/>
                <w:sz w:val="22"/>
                <w:szCs w:val="22"/>
              </w:rPr>
              <w:t>G</w:t>
            </w:r>
            <w:r w:rsidR="00EC5885">
              <w:rPr>
                <w:rFonts w:ascii="Franklin Gothic Book" w:hAnsi="Franklin Gothic Book" w:cstheme="minorHAnsi"/>
                <w:iCs/>
                <w:sz w:val="22"/>
                <w:szCs w:val="22"/>
              </w:rPr>
              <w:t>enetic changes</w:t>
            </w:r>
            <w:r w:rsidR="00027042" w:rsidRPr="00855EE2">
              <w:rPr>
                <w:rFonts w:ascii="Franklin Gothic Book" w:hAnsi="Franklin Gothic Book" w:cstheme="minorHAnsi"/>
                <w:iCs/>
                <w:sz w:val="22"/>
                <w:szCs w:val="22"/>
              </w:rPr>
              <w:t xml:space="preserve"> found </w:t>
            </w:r>
            <w:r w:rsidR="00DF49C2">
              <w:rPr>
                <w:rFonts w:ascii="Franklin Gothic Book" w:hAnsi="Franklin Gothic Book" w:cstheme="minorHAnsi"/>
                <w:iCs/>
                <w:sz w:val="22"/>
                <w:szCs w:val="22"/>
              </w:rPr>
              <w:t xml:space="preserve">in </w:t>
            </w:r>
            <w:r>
              <w:rPr>
                <w:rFonts w:ascii="Franklin Gothic Book" w:hAnsi="Franklin Gothic Book" w:cstheme="minorHAnsi"/>
                <w:iCs/>
                <w:sz w:val="22"/>
                <w:szCs w:val="22"/>
              </w:rPr>
              <w:t>a</w:t>
            </w:r>
            <w:r w:rsidR="00DF49C2">
              <w:rPr>
                <w:rFonts w:ascii="Franklin Gothic Book" w:hAnsi="Franklin Gothic Book" w:cstheme="minorHAnsi"/>
                <w:iCs/>
                <w:sz w:val="22"/>
                <w:szCs w:val="22"/>
              </w:rPr>
              <w:t xml:space="preserve"> </w:t>
            </w:r>
            <w:r w:rsidR="00261ABA">
              <w:rPr>
                <w:rFonts w:ascii="Franklin Gothic Book" w:hAnsi="Franklin Gothic Book" w:cstheme="minorHAnsi"/>
                <w:iCs/>
                <w:sz w:val="22"/>
                <w:szCs w:val="22"/>
              </w:rPr>
              <w:t xml:space="preserve">patient’s </w:t>
            </w:r>
            <w:r w:rsidR="00DF49C2">
              <w:rPr>
                <w:rFonts w:ascii="Franklin Gothic Book" w:hAnsi="Franklin Gothic Book" w:cstheme="minorHAnsi"/>
                <w:iCs/>
                <w:sz w:val="22"/>
                <w:szCs w:val="22"/>
              </w:rPr>
              <w:t xml:space="preserve">cancer </w:t>
            </w:r>
            <w:r w:rsidR="00027042" w:rsidRPr="00855EE2">
              <w:rPr>
                <w:rFonts w:ascii="Franklin Gothic Book" w:hAnsi="Franklin Gothic Book" w:cstheme="minorHAnsi"/>
                <w:iCs/>
                <w:sz w:val="22"/>
                <w:szCs w:val="22"/>
              </w:rPr>
              <w:t xml:space="preserve">are </w:t>
            </w:r>
            <w:r>
              <w:rPr>
                <w:rFonts w:ascii="Franklin Gothic Book" w:hAnsi="Franklin Gothic Book" w:cstheme="minorHAnsi"/>
                <w:iCs/>
                <w:sz w:val="22"/>
                <w:szCs w:val="22"/>
              </w:rPr>
              <w:t>generally somatic</w:t>
            </w:r>
            <w:r w:rsidR="00D249F4">
              <w:rPr>
                <w:rFonts w:ascii="Franklin Gothic Book" w:hAnsi="Franklin Gothic Book" w:cstheme="minorHAnsi"/>
                <w:iCs/>
                <w:sz w:val="22"/>
                <w:szCs w:val="22"/>
              </w:rPr>
              <w:t xml:space="preserve"> (occurring after conception)</w:t>
            </w:r>
            <w:r>
              <w:rPr>
                <w:rFonts w:ascii="Franklin Gothic Book" w:hAnsi="Franklin Gothic Book" w:cstheme="minorHAnsi"/>
                <w:iCs/>
                <w:sz w:val="22"/>
                <w:szCs w:val="22"/>
              </w:rPr>
              <w:t xml:space="preserve">, </w:t>
            </w:r>
            <w:r w:rsidR="00D249F4">
              <w:rPr>
                <w:rFonts w:ascii="Franklin Gothic Book" w:hAnsi="Franklin Gothic Book" w:cstheme="minorHAnsi"/>
                <w:iCs/>
                <w:sz w:val="22"/>
                <w:szCs w:val="22"/>
              </w:rPr>
              <w:t>rather than</w:t>
            </w:r>
            <w:r w:rsidR="00027042" w:rsidRPr="00855EE2">
              <w:rPr>
                <w:rFonts w:ascii="Franklin Gothic Book" w:hAnsi="Franklin Gothic Book" w:cstheme="minorHAnsi"/>
                <w:iCs/>
                <w:sz w:val="22"/>
                <w:szCs w:val="22"/>
              </w:rPr>
              <w:t xml:space="preserve"> heritable</w:t>
            </w:r>
            <w:r>
              <w:rPr>
                <w:rFonts w:ascii="Franklin Gothic Book" w:hAnsi="Franklin Gothic Book" w:cstheme="minorHAnsi"/>
                <w:iCs/>
                <w:sz w:val="22"/>
                <w:szCs w:val="22"/>
              </w:rPr>
              <w:t>.</w:t>
            </w:r>
            <w:r w:rsidR="00027042" w:rsidRPr="00855EE2">
              <w:rPr>
                <w:rFonts w:ascii="Franklin Gothic Book" w:hAnsi="Franklin Gothic Book" w:cstheme="minorHAnsi"/>
                <w:iCs/>
                <w:sz w:val="22"/>
                <w:szCs w:val="22"/>
              </w:rPr>
              <w:t xml:space="preserve"> </w:t>
            </w:r>
            <w:r>
              <w:rPr>
                <w:rFonts w:ascii="Franklin Gothic Book" w:hAnsi="Franklin Gothic Book" w:cstheme="minorHAnsi"/>
                <w:iCs/>
                <w:sz w:val="22"/>
                <w:szCs w:val="22"/>
              </w:rPr>
              <w:t>This means</w:t>
            </w:r>
            <w:r w:rsidR="00027042" w:rsidRPr="00855EE2">
              <w:rPr>
                <w:rFonts w:ascii="Franklin Gothic Book" w:hAnsi="Franklin Gothic Book" w:cstheme="minorHAnsi"/>
                <w:iCs/>
                <w:sz w:val="22"/>
                <w:szCs w:val="22"/>
              </w:rPr>
              <w:t xml:space="preserve"> family members do not </w:t>
            </w:r>
            <w:r w:rsidR="00D249F4">
              <w:rPr>
                <w:rFonts w:ascii="Franklin Gothic Book" w:hAnsi="Franklin Gothic Book" w:cstheme="minorHAnsi"/>
                <w:iCs/>
                <w:sz w:val="22"/>
                <w:szCs w:val="22"/>
              </w:rPr>
              <w:t>require testing</w:t>
            </w:r>
            <w:r w:rsidR="00027042" w:rsidRPr="00855EE2">
              <w:rPr>
                <w:rFonts w:ascii="Franklin Gothic Book" w:hAnsi="Franklin Gothic Book" w:cstheme="minorHAnsi"/>
                <w:iCs/>
                <w:sz w:val="22"/>
                <w:szCs w:val="22"/>
              </w:rPr>
              <w:t xml:space="preserve"> if a patient</w:t>
            </w:r>
            <w:r w:rsidR="00077117">
              <w:rPr>
                <w:rFonts w:ascii="Franklin Gothic Book" w:hAnsi="Franklin Gothic Book" w:cstheme="minorHAnsi"/>
                <w:iCs/>
                <w:sz w:val="22"/>
                <w:szCs w:val="22"/>
              </w:rPr>
              <w:t>’s cancer</w:t>
            </w:r>
            <w:r w:rsidR="00027042" w:rsidRPr="00855EE2">
              <w:rPr>
                <w:rFonts w:ascii="Franklin Gothic Book" w:hAnsi="Franklin Gothic Book" w:cstheme="minorHAnsi"/>
                <w:iCs/>
                <w:sz w:val="22"/>
                <w:szCs w:val="22"/>
              </w:rPr>
              <w:t xml:space="preserve"> </w:t>
            </w:r>
            <w:r w:rsidR="00EC5885">
              <w:rPr>
                <w:rFonts w:ascii="Franklin Gothic Book" w:hAnsi="Franklin Gothic Book" w:cstheme="minorHAnsi"/>
                <w:iCs/>
                <w:sz w:val="22"/>
                <w:szCs w:val="22"/>
              </w:rPr>
              <w:t xml:space="preserve">is found to have </w:t>
            </w:r>
            <w:r w:rsidR="00027042" w:rsidRPr="00855EE2">
              <w:rPr>
                <w:rFonts w:ascii="Franklin Gothic Book" w:hAnsi="Franklin Gothic Book" w:cstheme="minorHAnsi"/>
                <w:iCs/>
                <w:sz w:val="22"/>
                <w:szCs w:val="22"/>
              </w:rPr>
              <w:t>a</w:t>
            </w:r>
            <w:r w:rsidR="00EC5885">
              <w:rPr>
                <w:rFonts w:ascii="Franklin Gothic Book" w:hAnsi="Franklin Gothic Book" w:cstheme="minorHAnsi"/>
                <w:iCs/>
                <w:sz w:val="22"/>
                <w:szCs w:val="22"/>
              </w:rPr>
              <w:t xml:space="preserve"> genetic change</w:t>
            </w:r>
            <w:r w:rsidR="00027042" w:rsidRPr="00855EE2">
              <w:rPr>
                <w:rFonts w:ascii="Franklin Gothic Book" w:hAnsi="Franklin Gothic Book" w:cstheme="minorHAnsi"/>
                <w:iCs/>
                <w:sz w:val="22"/>
                <w:szCs w:val="22"/>
              </w:rPr>
              <w:t>.</w:t>
            </w:r>
          </w:p>
          <w:p w14:paraId="2875044C" w14:textId="4FEF86EF" w:rsidR="00027042" w:rsidRPr="00855EE2" w:rsidRDefault="00027042" w:rsidP="00855EE2">
            <w:pPr>
              <w:spacing w:after="240"/>
              <w:jc w:val="both"/>
              <w:rPr>
                <w:rFonts w:ascii="Franklin Gothic Book" w:hAnsi="Franklin Gothic Book" w:cstheme="minorHAnsi"/>
                <w:iCs/>
                <w:sz w:val="22"/>
                <w:szCs w:val="22"/>
              </w:rPr>
            </w:pPr>
            <w:r w:rsidRPr="00855EE2">
              <w:rPr>
                <w:rFonts w:ascii="Franklin Gothic Book" w:hAnsi="Franklin Gothic Book" w:cstheme="minorHAnsi"/>
                <w:iCs/>
                <w:sz w:val="22"/>
                <w:szCs w:val="22"/>
              </w:rPr>
              <w:t xml:space="preserve">MSAC considered glioma </w:t>
            </w:r>
            <w:r w:rsidR="00261ABA">
              <w:rPr>
                <w:rFonts w:ascii="Franklin Gothic Book" w:hAnsi="Franklin Gothic Book" w:cstheme="minorHAnsi"/>
                <w:iCs/>
                <w:sz w:val="22"/>
                <w:szCs w:val="22"/>
              </w:rPr>
              <w:t xml:space="preserve">gene </w:t>
            </w:r>
            <w:r w:rsidRPr="00855EE2">
              <w:rPr>
                <w:rFonts w:ascii="Franklin Gothic Book" w:hAnsi="Franklin Gothic Book" w:cstheme="minorHAnsi"/>
                <w:iCs/>
                <w:sz w:val="22"/>
                <w:szCs w:val="22"/>
              </w:rPr>
              <w:t xml:space="preserve">panel testing to be effective in helping patients receive the best </w:t>
            </w:r>
            <w:r w:rsidR="00EC5885">
              <w:rPr>
                <w:rFonts w:ascii="Franklin Gothic Book" w:hAnsi="Franklin Gothic Book" w:cstheme="minorHAnsi"/>
                <w:iCs/>
                <w:sz w:val="22"/>
                <w:szCs w:val="22"/>
              </w:rPr>
              <w:t xml:space="preserve">information on their </w:t>
            </w:r>
            <w:r w:rsidR="00EB68A2">
              <w:rPr>
                <w:rFonts w:ascii="Franklin Gothic Book" w:hAnsi="Franklin Gothic Book" w:cstheme="minorHAnsi"/>
                <w:iCs/>
                <w:sz w:val="22"/>
                <w:szCs w:val="22"/>
              </w:rPr>
              <w:t xml:space="preserve">diagnosis more efficiently, </w:t>
            </w:r>
            <w:r w:rsidR="00D249F4">
              <w:rPr>
                <w:rFonts w:ascii="Franklin Gothic Book" w:hAnsi="Franklin Gothic Book" w:cstheme="minorHAnsi"/>
                <w:iCs/>
                <w:sz w:val="22"/>
                <w:szCs w:val="22"/>
              </w:rPr>
              <w:t xml:space="preserve">to </w:t>
            </w:r>
            <w:r w:rsidR="00EB68A2">
              <w:rPr>
                <w:rFonts w:ascii="Franklin Gothic Book" w:hAnsi="Franklin Gothic Book" w:cstheme="minorHAnsi"/>
                <w:iCs/>
                <w:sz w:val="22"/>
                <w:szCs w:val="22"/>
              </w:rPr>
              <w:t>achieve the best possible outcomes</w:t>
            </w:r>
            <w:r w:rsidRPr="00855EE2">
              <w:rPr>
                <w:rFonts w:ascii="Franklin Gothic Book" w:hAnsi="Franklin Gothic Book" w:cstheme="minorHAnsi"/>
                <w:iCs/>
                <w:sz w:val="22"/>
                <w:szCs w:val="22"/>
              </w:rPr>
              <w:t>. G</w:t>
            </w:r>
            <w:r w:rsidR="00EB68A2">
              <w:rPr>
                <w:rFonts w:ascii="Franklin Gothic Book" w:hAnsi="Franklin Gothic Book" w:cstheme="minorHAnsi"/>
                <w:iCs/>
                <w:sz w:val="22"/>
                <w:szCs w:val="22"/>
              </w:rPr>
              <w:t>lioma g</w:t>
            </w:r>
            <w:r w:rsidRPr="00855EE2">
              <w:rPr>
                <w:rFonts w:ascii="Franklin Gothic Book" w:hAnsi="Franklin Gothic Book" w:cstheme="minorHAnsi"/>
                <w:iCs/>
                <w:sz w:val="22"/>
                <w:szCs w:val="22"/>
              </w:rPr>
              <w:t>ene</w:t>
            </w:r>
            <w:r w:rsidR="00EB68A2">
              <w:rPr>
                <w:rFonts w:ascii="Franklin Gothic Book" w:hAnsi="Franklin Gothic Book" w:cstheme="minorHAnsi"/>
                <w:iCs/>
                <w:sz w:val="22"/>
                <w:szCs w:val="22"/>
              </w:rPr>
              <w:t xml:space="preserve"> panel</w:t>
            </w:r>
            <w:r w:rsidRPr="00855EE2">
              <w:rPr>
                <w:rFonts w:ascii="Franklin Gothic Book" w:hAnsi="Franklin Gothic Book" w:cstheme="minorHAnsi"/>
                <w:iCs/>
                <w:sz w:val="22"/>
                <w:szCs w:val="22"/>
              </w:rPr>
              <w:t xml:space="preserve"> testing is also safe and </w:t>
            </w:r>
            <w:r w:rsidR="00D249F4">
              <w:rPr>
                <w:rFonts w:ascii="Franklin Gothic Book" w:hAnsi="Franklin Gothic Book" w:cstheme="minorHAnsi"/>
                <w:iCs/>
                <w:sz w:val="22"/>
                <w:szCs w:val="22"/>
              </w:rPr>
              <w:t xml:space="preserve">represents </w:t>
            </w:r>
            <w:r w:rsidRPr="00855EE2">
              <w:rPr>
                <w:rFonts w:ascii="Franklin Gothic Book" w:hAnsi="Franklin Gothic Book" w:cstheme="minorHAnsi"/>
                <w:iCs/>
                <w:sz w:val="22"/>
                <w:szCs w:val="22"/>
              </w:rPr>
              <w:t>good value for money.</w:t>
            </w:r>
          </w:p>
          <w:p w14:paraId="39EB8554" w14:textId="77777777" w:rsidR="000A1D4E" w:rsidRDefault="000A1D4E" w:rsidP="001315CE">
            <w:pPr>
              <w:autoSpaceDE w:val="0"/>
              <w:autoSpaceDN w:val="0"/>
              <w:adjustRightInd w:val="0"/>
              <w:spacing w:after="240"/>
              <w:rPr>
                <w:rFonts w:ascii="Franklin Gothic Book" w:eastAsia="Calibri" w:hAnsi="Franklin Gothic Book"/>
                <w:b/>
                <w:bCs/>
                <w:iCs/>
                <w:szCs w:val="22"/>
                <w:lang w:eastAsia="en-US"/>
              </w:rPr>
            </w:pPr>
            <w:r w:rsidRPr="000A1D4E">
              <w:rPr>
                <w:rFonts w:ascii="Franklin Gothic Book" w:eastAsia="Calibri" w:hAnsi="Franklin Gothic Book"/>
                <w:b/>
                <w:bCs/>
                <w:iCs/>
                <w:szCs w:val="22"/>
                <w:lang w:eastAsia="en-US"/>
              </w:rPr>
              <w:t>MSAC's advice to the Commonwealth Minister for Health</w:t>
            </w:r>
          </w:p>
          <w:p w14:paraId="0564557F" w14:textId="03F382DD" w:rsidR="001315CE" w:rsidRPr="00EA5B5B" w:rsidRDefault="00027042" w:rsidP="00855EE2">
            <w:pPr>
              <w:spacing w:after="240"/>
              <w:jc w:val="both"/>
              <w:rPr>
                <w:rFonts w:ascii="Franklin Gothic Book" w:eastAsia="Calibri" w:hAnsi="Franklin Gothic Book"/>
                <w:iCs/>
                <w:szCs w:val="22"/>
                <w:lang w:eastAsia="en-US"/>
              </w:rPr>
            </w:pPr>
            <w:r w:rsidRPr="00855EE2">
              <w:rPr>
                <w:rFonts w:ascii="Franklin Gothic Book" w:hAnsi="Franklin Gothic Book" w:cstheme="minorHAnsi"/>
                <w:iCs/>
                <w:sz w:val="22"/>
                <w:szCs w:val="22"/>
              </w:rPr>
              <w:t xml:space="preserve">MSAC recommended that a gene panel test for the diagnosis of glioma, including glioblastoma, be listed on the MBS. MSAC considered the testing to be effective, </w:t>
            </w:r>
            <w:proofErr w:type="gramStart"/>
            <w:r w:rsidRPr="00855EE2">
              <w:rPr>
                <w:rFonts w:ascii="Franklin Gothic Book" w:hAnsi="Franklin Gothic Book" w:cstheme="minorHAnsi"/>
                <w:iCs/>
                <w:sz w:val="22"/>
                <w:szCs w:val="22"/>
              </w:rPr>
              <w:t>safe</w:t>
            </w:r>
            <w:proofErr w:type="gramEnd"/>
            <w:r w:rsidRPr="00855EE2">
              <w:rPr>
                <w:rFonts w:ascii="Franklin Gothic Book" w:hAnsi="Franklin Gothic Book" w:cstheme="minorHAnsi"/>
                <w:iCs/>
                <w:sz w:val="22"/>
                <w:szCs w:val="22"/>
              </w:rPr>
              <w:t xml:space="preserve"> and good value for money.</w:t>
            </w:r>
          </w:p>
        </w:tc>
      </w:tr>
    </w:tbl>
    <w:p w14:paraId="024A085D" w14:textId="55EBE658" w:rsidR="001315CE" w:rsidRDefault="001315CE" w:rsidP="001315CE">
      <w:pPr>
        <w:pStyle w:val="Heading2"/>
        <w:numPr>
          <w:ilvl w:val="0"/>
          <w:numId w:val="0"/>
        </w:numPr>
      </w:pPr>
      <w:r w:rsidRPr="001315CE">
        <w:lastRenderedPageBreak/>
        <w:t>3.</w:t>
      </w:r>
      <w:r w:rsidRPr="001315CE">
        <w:tab/>
        <w:t>Summary of consideration and rationale for MSAC’s advice</w:t>
      </w:r>
    </w:p>
    <w:p w14:paraId="6C6C15EB" w14:textId="0B4B0C64"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that this application from the Royal College of Pathologists of Australasia (RCPA) was for the Medicare Benefits Schedule (MBS) listing of a somatic gene panel test for the diagnosis of glioma, including glioblastoma. MSAC </w:t>
      </w:r>
      <w:r w:rsidR="00EB68A2">
        <w:rPr>
          <w:rFonts w:ascii="Franklin Gothic Book" w:hAnsi="Franklin Gothic Book" w:cstheme="minorHAnsi"/>
          <w:iCs/>
          <w:sz w:val="22"/>
          <w:szCs w:val="22"/>
        </w:rPr>
        <w:t>recalled</w:t>
      </w:r>
      <w:r w:rsidR="00EB68A2"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that</w:t>
      </w:r>
      <w:r w:rsidR="00EB68A2">
        <w:rPr>
          <w:rFonts w:ascii="Franklin Gothic Book" w:hAnsi="Franklin Gothic Book" w:cstheme="minorHAnsi"/>
          <w:iCs/>
          <w:sz w:val="22"/>
          <w:szCs w:val="22"/>
        </w:rPr>
        <w:t xml:space="preserve"> in 2019 it had supported</w:t>
      </w:r>
      <w:r w:rsidRPr="000A1D4E">
        <w:rPr>
          <w:rFonts w:ascii="Franklin Gothic Book" w:hAnsi="Franklin Gothic Book" w:cstheme="minorHAnsi"/>
          <w:iCs/>
          <w:sz w:val="22"/>
          <w:szCs w:val="22"/>
        </w:rPr>
        <w:t xml:space="preserve"> Application 1527 for </w:t>
      </w:r>
      <w:r w:rsidR="00EB68A2" w:rsidRPr="00EB68A2">
        <w:rPr>
          <w:rFonts w:ascii="Franklin Gothic Book" w:hAnsi="Franklin Gothic Book" w:cstheme="minorHAnsi"/>
          <w:iCs/>
          <w:sz w:val="22"/>
          <w:szCs w:val="22"/>
        </w:rPr>
        <w:t>somatic gene testing of central nervous system tumours and sarcomas</w:t>
      </w:r>
      <w:r w:rsidR="00EB68A2">
        <w:rPr>
          <w:rFonts w:ascii="Franklin Gothic Book" w:hAnsi="Franklin Gothic Book" w:cstheme="minorHAnsi"/>
          <w:iCs/>
          <w:sz w:val="22"/>
          <w:szCs w:val="22"/>
        </w:rPr>
        <w:t>, including three single gene tests for the diagnosis of glioma that have since been listed on the MBS</w:t>
      </w:r>
      <w:r w:rsidRPr="000A1D4E">
        <w:rPr>
          <w:rFonts w:ascii="Franklin Gothic Book" w:hAnsi="Franklin Gothic Book" w:cstheme="minorHAnsi"/>
          <w:iCs/>
          <w:sz w:val="22"/>
          <w:szCs w:val="22"/>
        </w:rPr>
        <w:t xml:space="preserve">. </w:t>
      </w:r>
    </w:p>
    <w:p w14:paraId="0991C83E" w14:textId="4FE9234A"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that the World Health Organization </w:t>
      </w:r>
      <w:r w:rsidR="00EC5885">
        <w:rPr>
          <w:rFonts w:ascii="Franklin Gothic Book" w:hAnsi="Franklin Gothic Book" w:cstheme="minorHAnsi"/>
          <w:iCs/>
          <w:sz w:val="22"/>
          <w:szCs w:val="22"/>
        </w:rPr>
        <w:t>(</w:t>
      </w:r>
      <w:r w:rsidRPr="000A1D4E">
        <w:rPr>
          <w:rFonts w:ascii="Franklin Gothic Book" w:hAnsi="Franklin Gothic Book" w:cstheme="minorHAnsi"/>
          <w:iCs/>
          <w:sz w:val="22"/>
          <w:szCs w:val="22"/>
        </w:rPr>
        <w:t>WHO</w:t>
      </w:r>
      <w:r w:rsidR="00EC5885">
        <w:rPr>
          <w:rFonts w:ascii="Franklin Gothic Book" w:hAnsi="Franklin Gothic Book" w:cstheme="minorHAnsi"/>
          <w:iCs/>
          <w:sz w:val="22"/>
          <w:szCs w:val="22"/>
        </w:rPr>
        <w:t>)</w:t>
      </w:r>
      <w:r w:rsidR="00EB68A2">
        <w:rPr>
          <w:rFonts w:ascii="Franklin Gothic Book" w:hAnsi="Franklin Gothic Book" w:cstheme="minorHAnsi"/>
          <w:iCs/>
          <w:sz w:val="22"/>
          <w:szCs w:val="22"/>
        </w:rPr>
        <w:t xml:space="preserve">’s most recent update in 2021 to its </w:t>
      </w:r>
      <w:r w:rsidR="00EB68A2" w:rsidRPr="000A1D4E">
        <w:rPr>
          <w:rFonts w:ascii="Franklin Gothic Book" w:hAnsi="Franklin Gothic Book" w:cstheme="minorHAnsi"/>
          <w:iCs/>
          <w:sz w:val="22"/>
          <w:szCs w:val="22"/>
        </w:rPr>
        <w:t>central nervous system (CNS)</w:t>
      </w:r>
      <w:r w:rsidR="00EB68A2">
        <w:rPr>
          <w:rFonts w:ascii="Franklin Gothic Book" w:hAnsi="Franklin Gothic Book" w:cstheme="minorHAnsi"/>
          <w:iCs/>
          <w:sz w:val="22"/>
          <w:szCs w:val="22"/>
        </w:rPr>
        <w:t xml:space="preserve"> </w:t>
      </w:r>
      <w:r w:rsidR="00EB68A2" w:rsidRPr="000A1D4E">
        <w:rPr>
          <w:rFonts w:ascii="Franklin Gothic Book" w:hAnsi="Franklin Gothic Book" w:cstheme="minorHAnsi"/>
          <w:iCs/>
          <w:sz w:val="22"/>
          <w:szCs w:val="22"/>
        </w:rPr>
        <w:t>tumour classification</w:t>
      </w:r>
      <w:r w:rsidR="00EB68A2">
        <w:rPr>
          <w:rFonts w:ascii="Franklin Gothic Book" w:hAnsi="Franklin Gothic Book" w:cstheme="minorHAnsi"/>
          <w:iCs/>
          <w:sz w:val="22"/>
          <w:szCs w:val="22"/>
        </w:rPr>
        <w:t>,</w:t>
      </w:r>
      <w:r w:rsidRPr="000A1D4E">
        <w:rPr>
          <w:rFonts w:ascii="Franklin Gothic Book" w:hAnsi="Franklin Gothic Book" w:cstheme="minorHAnsi"/>
          <w:iCs/>
          <w:sz w:val="22"/>
          <w:szCs w:val="22"/>
        </w:rPr>
        <w:t xml:space="preserve"> CNS5, </w:t>
      </w:r>
      <w:r w:rsidR="00930B8A">
        <w:rPr>
          <w:rFonts w:ascii="Franklin Gothic Book" w:hAnsi="Franklin Gothic Book" w:cstheme="minorHAnsi"/>
          <w:iCs/>
          <w:sz w:val="22"/>
          <w:szCs w:val="22"/>
        </w:rPr>
        <w:t>describes the need for</w:t>
      </w:r>
      <w:r w:rsidRPr="000A1D4E">
        <w:rPr>
          <w:rFonts w:ascii="Franklin Gothic Book" w:hAnsi="Franklin Gothic Book" w:cstheme="minorHAnsi"/>
          <w:iCs/>
          <w:sz w:val="22"/>
          <w:szCs w:val="22"/>
        </w:rPr>
        <w:t xml:space="preserve"> molecular genetic test</w:t>
      </w:r>
      <w:r w:rsidR="00407DCE">
        <w:rPr>
          <w:rFonts w:ascii="Franklin Gothic Book" w:hAnsi="Franklin Gothic Book" w:cstheme="minorHAnsi"/>
          <w:iCs/>
          <w:sz w:val="22"/>
          <w:szCs w:val="22"/>
        </w:rPr>
        <w:t>ing</w:t>
      </w:r>
      <w:r w:rsidRPr="000A1D4E">
        <w:rPr>
          <w:rFonts w:ascii="Franklin Gothic Book" w:hAnsi="Franklin Gothic Book" w:cstheme="minorHAnsi"/>
          <w:iCs/>
          <w:sz w:val="22"/>
          <w:szCs w:val="22"/>
        </w:rPr>
        <w:t xml:space="preserve"> for</w:t>
      </w:r>
      <w:r w:rsidR="00EC5885">
        <w:rPr>
          <w:rFonts w:ascii="Franklin Gothic Book" w:hAnsi="Franklin Gothic Book" w:cstheme="minorHAnsi"/>
          <w:iCs/>
          <w:sz w:val="22"/>
          <w:szCs w:val="22"/>
        </w:rPr>
        <w:t xml:space="preserve"> the</w:t>
      </w:r>
      <w:r w:rsidRPr="000A1D4E">
        <w:rPr>
          <w:rFonts w:ascii="Franklin Gothic Book" w:hAnsi="Franklin Gothic Book" w:cstheme="minorHAnsi"/>
          <w:iCs/>
          <w:sz w:val="22"/>
          <w:szCs w:val="22"/>
        </w:rPr>
        <w:t xml:space="preserve"> diagnosis and grading of CNS tumours, independent of histology and morphology. CNS5 includes </w:t>
      </w:r>
      <w:r w:rsidR="00EC5885">
        <w:rPr>
          <w:rFonts w:ascii="Franklin Gothic Book" w:hAnsi="Franklin Gothic Book" w:cstheme="minorHAnsi"/>
          <w:iCs/>
          <w:sz w:val="22"/>
          <w:szCs w:val="22"/>
        </w:rPr>
        <w:t xml:space="preserve">the description of </w:t>
      </w:r>
      <w:r w:rsidRPr="000A1D4E">
        <w:rPr>
          <w:rFonts w:ascii="Franklin Gothic Book" w:hAnsi="Franklin Gothic Book" w:cstheme="minorHAnsi"/>
          <w:iCs/>
          <w:sz w:val="22"/>
          <w:szCs w:val="22"/>
        </w:rPr>
        <w:t>14 new tumour types, and now recommends using multiple test methodologies as a</w:t>
      </w:r>
      <w:r w:rsidR="00764AB8">
        <w:rPr>
          <w:rFonts w:ascii="Franklin Gothic Book" w:hAnsi="Franklin Gothic Book" w:cstheme="minorHAnsi"/>
          <w:iCs/>
          <w:sz w:val="22"/>
          <w:szCs w:val="22"/>
        </w:rPr>
        <w:t>n integrated</w:t>
      </w:r>
      <w:r w:rsidRPr="000A1D4E">
        <w:rPr>
          <w:rFonts w:ascii="Franklin Gothic Book" w:hAnsi="Franklin Gothic Book" w:cstheme="minorHAnsi"/>
          <w:iCs/>
          <w:sz w:val="22"/>
          <w:szCs w:val="22"/>
        </w:rPr>
        <w:t xml:space="preserve"> approach to </w:t>
      </w:r>
      <w:r w:rsidR="00EC5885">
        <w:rPr>
          <w:rFonts w:ascii="Franklin Gothic Book" w:hAnsi="Franklin Gothic Book" w:cstheme="minorHAnsi"/>
          <w:iCs/>
          <w:sz w:val="22"/>
          <w:szCs w:val="22"/>
        </w:rPr>
        <w:t xml:space="preserve">CNS tumour </w:t>
      </w:r>
      <w:r w:rsidRPr="000A1D4E">
        <w:rPr>
          <w:rFonts w:ascii="Franklin Gothic Book" w:hAnsi="Franklin Gothic Book" w:cstheme="minorHAnsi"/>
          <w:iCs/>
          <w:sz w:val="22"/>
          <w:szCs w:val="22"/>
        </w:rPr>
        <w:t xml:space="preserve">diagnosis. MSAC noted the pre-MSAC response stated that the WHO classification of brain tumours highlights the role of molecular testing in achieving the best possible outcomes for </w:t>
      </w:r>
      <w:r w:rsidR="00764AB8">
        <w:rPr>
          <w:rFonts w:ascii="Franklin Gothic Book" w:hAnsi="Franklin Gothic Book" w:cstheme="minorHAnsi"/>
          <w:iCs/>
          <w:sz w:val="22"/>
          <w:szCs w:val="22"/>
        </w:rPr>
        <w:t xml:space="preserve">patients with </w:t>
      </w:r>
      <w:r w:rsidRPr="000A1D4E">
        <w:rPr>
          <w:rFonts w:ascii="Franklin Gothic Book" w:hAnsi="Franklin Gothic Book" w:cstheme="minorHAnsi"/>
          <w:iCs/>
          <w:sz w:val="22"/>
          <w:szCs w:val="22"/>
        </w:rPr>
        <w:t>glioma</w:t>
      </w:r>
      <w:r w:rsidR="00EC5885">
        <w:rPr>
          <w:rFonts w:ascii="Franklin Gothic Book" w:hAnsi="Franklin Gothic Book" w:cstheme="minorHAnsi"/>
          <w:iCs/>
          <w:sz w:val="22"/>
          <w:szCs w:val="22"/>
        </w:rPr>
        <w:t xml:space="preserve">, </w:t>
      </w:r>
      <w:r w:rsidR="003B72B7">
        <w:rPr>
          <w:rFonts w:ascii="Franklin Gothic Book" w:hAnsi="Franklin Gothic Book" w:cstheme="minorHAnsi"/>
          <w:iCs/>
          <w:sz w:val="22"/>
          <w:szCs w:val="22"/>
        </w:rPr>
        <w:t>glioneuronal</w:t>
      </w:r>
      <w:r w:rsidR="00EC5885" w:rsidRPr="00027042">
        <w:rPr>
          <w:rFonts w:ascii="Franklin Gothic Book" w:hAnsi="Franklin Gothic Book" w:cstheme="minorHAnsi"/>
          <w:iCs/>
          <w:sz w:val="22"/>
          <w:szCs w:val="22"/>
        </w:rPr>
        <w:t xml:space="preserve"> tumours or glioblastoma</w:t>
      </w:r>
      <w:r w:rsidR="00764AB8">
        <w:rPr>
          <w:rFonts w:ascii="Franklin Gothic Book" w:hAnsi="Franklin Gothic Book" w:cstheme="minorHAnsi"/>
          <w:iCs/>
          <w:sz w:val="22"/>
          <w:szCs w:val="22"/>
        </w:rPr>
        <w:t>s</w:t>
      </w:r>
      <w:r w:rsidRPr="000A1D4E">
        <w:rPr>
          <w:rFonts w:ascii="Franklin Gothic Book" w:hAnsi="Franklin Gothic Book" w:cstheme="minorHAnsi"/>
          <w:iCs/>
          <w:sz w:val="22"/>
          <w:szCs w:val="22"/>
        </w:rPr>
        <w:t>, and that these tests are not currently reimbursed on the MBS, requiring patients/families to bear the cost of genetic testing.</w:t>
      </w:r>
    </w:p>
    <w:p w14:paraId="38BBAD58" w14:textId="068FF64A"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lastRenderedPageBreak/>
        <w:t xml:space="preserve">MSAC noted that this application builds on the existing MBS items for single genetic tests </w:t>
      </w:r>
      <w:r w:rsidR="00407DCE">
        <w:rPr>
          <w:rFonts w:ascii="Franklin Gothic Book" w:hAnsi="Franklin Gothic Book" w:cstheme="minorHAnsi"/>
          <w:iCs/>
          <w:sz w:val="22"/>
          <w:szCs w:val="22"/>
        </w:rPr>
        <w:t xml:space="preserve">(arising from application 1527), </w:t>
      </w:r>
      <w:r w:rsidRPr="000A1D4E">
        <w:rPr>
          <w:rFonts w:ascii="Franklin Gothic Book" w:hAnsi="Franklin Gothic Book" w:cstheme="minorHAnsi"/>
          <w:iCs/>
          <w:sz w:val="22"/>
          <w:szCs w:val="22"/>
        </w:rPr>
        <w:t>by creating a new MBS item for a multigene next-generation sequencing (NGS) panel with broader coverage:</w:t>
      </w:r>
    </w:p>
    <w:p w14:paraId="12F5D300" w14:textId="77777777" w:rsidR="000A1D4E" w:rsidRPr="003B72B7" w:rsidRDefault="000A1D4E" w:rsidP="003B72B7">
      <w:pPr>
        <w:pStyle w:val="ListParagraph"/>
        <w:numPr>
          <w:ilvl w:val="0"/>
          <w:numId w:val="33"/>
        </w:numPr>
        <w:spacing w:after="240"/>
        <w:jc w:val="both"/>
        <w:rPr>
          <w:rFonts w:cstheme="minorHAnsi"/>
          <w:iCs/>
        </w:rPr>
      </w:pPr>
      <w:r w:rsidRPr="003B72B7">
        <w:rPr>
          <w:rFonts w:cstheme="minorHAnsi"/>
          <w:iCs/>
        </w:rPr>
        <w:t>MBS item 73371: detection of co-deletion of 1p/19q chromosome regions (fee $340)</w:t>
      </w:r>
    </w:p>
    <w:p w14:paraId="7BAC6C28" w14:textId="721F5D16" w:rsidR="000A1D4E" w:rsidRPr="003B72B7" w:rsidRDefault="000A1D4E" w:rsidP="003B72B7">
      <w:pPr>
        <w:pStyle w:val="ListParagraph"/>
        <w:numPr>
          <w:ilvl w:val="0"/>
          <w:numId w:val="33"/>
        </w:numPr>
        <w:spacing w:after="240"/>
        <w:jc w:val="both"/>
        <w:rPr>
          <w:rFonts w:cstheme="minorHAnsi"/>
          <w:iCs/>
        </w:rPr>
      </w:pPr>
      <w:r w:rsidRPr="003B72B7">
        <w:rPr>
          <w:rFonts w:cstheme="minorHAnsi"/>
          <w:iCs/>
        </w:rPr>
        <w:t xml:space="preserve">MBS item 73372: gene testing to determine </w:t>
      </w:r>
      <w:r w:rsidRPr="003B72B7">
        <w:rPr>
          <w:rFonts w:cstheme="minorHAnsi"/>
          <w:i/>
        </w:rPr>
        <w:t>IDH1/2</w:t>
      </w:r>
      <w:r w:rsidRPr="003B72B7">
        <w:rPr>
          <w:rFonts w:cstheme="minorHAnsi"/>
          <w:iCs/>
        </w:rPr>
        <w:t xml:space="preserve"> </w:t>
      </w:r>
      <w:r w:rsidR="00407DCE" w:rsidRPr="003B72B7">
        <w:rPr>
          <w:rFonts w:cstheme="minorHAnsi"/>
          <w:iCs/>
        </w:rPr>
        <w:t xml:space="preserve">variant status </w:t>
      </w:r>
      <w:r w:rsidRPr="003B72B7">
        <w:rPr>
          <w:rFonts w:cstheme="minorHAnsi"/>
          <w:iCs/>
        </w:rPr>
        <w:t xml:space="preserve">(fee $340) </w:t>
      </w:r>
    </w:p>
    <w:p w14:paraId="20BE2D79" w14:textId="1F767106" w:rsidR="000A1D4E" w:rsidRPr="003B72B7" w:rsidRDefault="000A1D4E" w:rsidP="003B72B7">
      <w:pPr>
        <w:pStyle w:val="ListParagraph"/>
        <w:numPr>
          <w:ilvl w:val="0"/>
          <w:numId w:val="33"/>
        </w:numPr>
        <w:spacing w:after="240"/>
        <w:jc w:val="both"/>
        <w:rPr>
          <w:rFonts w:cstheme="minorHAnsi"/>
          <w:iCs/>
        </w:rPr>
      </w:pPr>
      <w:r w:rsidRPr="003B72B7">
        <w:rPr>
          <w:rFonts w:cstheme="minorHAnsi"/>
          <w:iCs/>
        </w:rPr>
        <w:t xml:space="preserve">MBS item 73373: </w:t>
      </w:r>
      <w:r w:rsidR="00A54FDD">
        <w:rPr>
          <w:rFonts w:cstheme="minorHAnsi"/>
          <w:iCs/>
        </w:rPr>
        <w:t xml:space="preserve">characterisation of </w:t>
      </w:r>
      <w:r w:rsidRPr="003B72B7">
        <w:rPr>
          <w:rFonts w:cstheme="minorHAnsi"/>
          <w:i/>
        </w:rPr>
        <w:t>MGMT</w:t>
      </w:r>
      <w:r w:rsidRPr="003B72B7">
        <w:rPr>
          <w:rFonts w:cstheme="minorHAnsi"/>
          <w:iCs/>
        </w:rPr>
        <w:t xml:space="preserve"> promoter methylation</w:t>
      </w:r>
      <w:r w:rsidR="00A54FDD">
        <w:rPr>
          <w:rFonts w:cstheme="minorHAnsi"/>
          <w:iCs/>
        </w:rPr>
        <w:t xml:space="preserve"> </w:t>
      </w:r>
      <w:r w:rsidRPr="003B72B7">
        <w:rPr>
          <w:rFonts w:cstheme="minorHAnsi"/>
          <w:iCs/>
        </w:rPr>
        <w:t>(fee $400).</w:t>
      </w:r>
    </w:p>
    <w:p w14:paraId="79173AFA" w14:textId="1C4314B1" w:rsidR="003957DF" w:rsidRDefault="003957DF" w:rsidP="000A1D4E">
      <w:pPr>
        <w:spacing w:after="240"/>
        <w:jc w:val="both"/>
        <w:rPr>
          <w:rFonts w:ascii="Franklin Gothic Book" w:hAnsi="Franklin Gothic Book" w:cstheme="minorHAnsi"/>
          <w:iCs/>
          <w:sz w:val="22"/>
          <w:szCs w:val="22"/>
        </w:rPr>
      </w:pPr>
      <w:r>
        <w:rPr>
          <w:rFonts w:ascii="Franklin Gothic Book" w:hAnsi="Franklin Gothic Book" w:cstheme="minorHAnsi"/>
          <w:iCs/>
          <w:sz w:val="22"/>
          <w:szCs w:val="22"/>
        </w:rPr>
        <w:t>MSAC noted the proposed population was</w:t>
      </w:r>
      <w:r w:rsidRPr="003957DF">
        <w:t xml:space="preserve"> </w:t>
      </w:r>
      <w:r w:rsidRPr="003957DF">
        <w:rPr>
          <w:rFonts w:ascii="Franklin Gothic Book" w:hAnsi="Franklin Gothic Book" w:cstheme="minorHAnsi"/>
          <w:iCs/>
          <w:sz w:val="22"/>
          <w:szCs w:val="22"/>
        </w:rPr>
        <w:t xml:space="preserve">patients who have been identified as likely to have a glioma. While the initial application excluded those with an IDH-wildtype glioblastoma where a diagnosis can be made based on IDH1 </w:t>
      </w:r>
      <w:r w:rsidR="00C314F0">
        <w:rPr>
          <w:rFonts w:ascii="Franklin Gothic Book" w:hAnsi="Franklin Gothic Book" w:cstheme="minorHAnsi"/>
          <w:iCs/>
          <w:sz w:val="22"/>
          <w:szCs w:val="22"/>
        </w:rPr>
        <w:t>immunohistochemistry (</w:t>
      </w:r>
      <w:r w:rsidRPr="003957DF">
        <w:rPr>
          <w:rFonts w:ascii="Franklin Gothic Book" w:hAnsi="Franklin Gothic Book" w:cstheme="minorHAnsi"/>
          <w:iCs/>
          <w:sz w:val="22"/>
          <w:szCs w:val="22"/>
        </w:rPr>
        <w:t>IHC</w:t>
      </w:r>
      <w:r w:rsidR="00C314F0">
        <w:rPr>
          <w:rFonts w:ascii="Franklin Gothic Book" w:hAnsi="Franklin Gothic Book" w:cstheme="minorHAnsi"/>
          <w:iCs/>
          <w:sz w:val="22"/>
          <w:szCs w:val="22"/>
        </w:rPr>
        <w:t>)</w:t>
      </w:r>
      <w:r w:rsidRPr="003957DF">
        <w:rPr>
          <w:rFonts w:ascii="Franklin Gothic Book" w:hAnsi="Franklin Gothic Book" w:cstheme="minorHAnsi"/>
          <w:iCs/>
          <w:sz w:val="22"/>
          <w:szCs w:val="22"/>
        </w:rPr>
        <w:t xml:space="preserve"> testing, MSAC considered that the test should be made for all patients with suspected glioma at diagnosis or relapse of disease</w:t>
      </w:r>
      <w:r w:rsidR="00E6196C">
        <w:rPr>
          <w:rFonts w:ascii="Franklin Gothic Book" w:hAnsi="Franklin Gothic Book" w:cstheme="minorHAnsi"/>
          <w:iCs/>
          <w:sz w:val="22"/>
          <w:szCs w:val="22"/>
        </w:rPr>
        <w:t>, as referred to by “one test per diagnostic episode” in the item descriptor</w:t>
      </w:r>
      <w:r w:rsidRPr="003957DF">
        <w:rPr>
          <w:rFonts w:ascii="Franklin Gothic Book" w:hAnsi="Franklin Gothic Book" w:cstheme="minorHAnsi"/>
          <w:iCs/>
          <w:sz w:val="22"/>
          <w:szCs w:val="22"/>
        </w:rPr>
        <w:t>.</w:t>
      </w:r>
    </w:p>
    <w:p w14:paraId="3AE34703" w14:textId="6CB2FD6D"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concerns regarding the amount of tissue </w:t>
      </w:r>
      <w:r w:rsidR="0043164E">
        <w:rPr>
          <w:rFonts w:ascii="Franklin Gothic Book" w:hAnsi="Franklin Gothic Book" w:cstheme="minorHAnsi"/>
          <w:iCs/>
          <w:sz w:val="22"/>
          <w:szCs w:val="22"/>
        </w:rPr>
        <w:t xml:space="preserve">that is </w:t>
      </w:r>
      <w:r w:rsidRPr="000A1D4E">
        <w:rPr>
          <w:rFonts w:ascii="Franklin Gothic Book" w:hAnsi="Franklin Gothic Book" w:cstheme="minorHAnsi"/>
          <w:iCs/>
          <w:sz w:val="22"/>
          <w:szCs w:val="22"/>
        </w:rPr>
        <w:t xml:space="preserve">required for </w:t>
      </w:r>
      <w:r w:rsidR="0043164E">
        <w:rPr>
          <w:rFonts w:ascii="Franklin Gothic Book" w:hAnsi="Franklin Gothic Book" w:cstheme="minorHAnsi"/>
          <w:iCs/>
          <w:sz w:val="22"/>
          <w:szCs w:val="22"/>
        </w:rPr>
        <w:t xml:space="preserve">the </w:t>
      </w:r>
      <w:r w:rsidRPr="000A1D4E">
        <w:rPr>
          <w:rFonts w:ascii="Franklin Gothic Book" w:hAnsi="Franklin Gothic Book" w:cstheme="minorHAnsi"/>
          <w:iCs/>
          <w:sz w:val="22"/>
          <w:szCs w:val="22"/>
        </w:rPr>
        <w:t xml:space="preserve">panel test, and </w:t>
      </w:r>
      <w:r w:rsidR="00407DCE">
        <w:rPr>
          <w:rFonts w:ascii="Franklin Gothic Book" w:hAnsi="Franklin Gothic Book" w:cstheme="minorHAnsi"/>
          <w:iCs/>
          <w:sz w:val="22"/>
          <w:szCs w:val="22"/>
        </w:rPr>
        <w:t xml:space="preserve">considered </w:t>
      </w:r>
      <w:r w:rsidR="00051044">
        <w:rPr>
          <w:rFonts w:ascii="Franklin Gothic Book" w:hAnsi="Franklin Gothic Book" w:cstheme="minorHAnsi"/>
          <w:iCs/>
          <w:sz w:val="22"/>
          <w:szCs w:val="22"/>
        </w:rPr>
        <w:t xml:space="preserve">that while continuing </w:t>
      </w:r>
      <w:r w:rsidR="00BA545D">
        <w:rPr>
          <w:rFonts w:ascii="Franklin Gothic Book" w:hAnsi="Franklin Gothic Book" w:cstheme="minorHAnsi"/>
          <w:iCs/>
          <w:sz w:val="22"/>
          <w:szCs w:val="22"/>
        </w:rPr>
        <w:t>the current items</w:t>
      </w:r>
      <w:r w:rsidR="00051044">
        <w:rPr>
          <w:rFonts w:ascii="Franklin Gothic Book" w:hAnsi="Franklin Gothic Book" w:cstheme="minorHAnsi"/>
          <w:iCs/>
          <w:sz w:val="22"/>
          <w:szCs w:val="22"/>
        </w:rPr>
        <w:t xml:space="preserve"> would be useful for biopsies with insufficient DNA for panel testing, </w:t>
      </w:r>
      <w:r w:rsidR="00407DCE">
        <w:rPr>
          <w:rFonts w:ascii="Franklin Gothic Book" w:hAnsi="Franklin Gothic Book" w:cstheme="minorHAnsi"/>
          <w:iCs/>
          <w:sz w:val="22"/>
          <w:szCs w:val="22"/>
        </w:rPr>
        <w:t>there is little</w:t>
      </w:r>
      <w:r w:rsidRPr="000A1D4E">
        <w:rPr>
          <w:rFonts w:ascii="Franklin Gothic Book" w:hAnsi="Franklin Gothic Book" w:cstheme="minorHAnsi"/>
          <w:iCs/>
          <w:sz w:val="22"/>
          <w:szCs w:val="22"/>
        </w:rPr>
        <w:t xml:space="preserve"> </w:t>
      </w:r>
      <w:r w:rsidR="00407DCE">
        <w:rPr>
          <w:rFonts w:ascii="Franklin Gothic Book" w:hAnsi="Franklin Gothic Book" w:cstheme="minorHAnsi"/>
          <w:iCs/>
          <w:sz w:val="22"/>
          <w:szCs w:val="22"/>
        </w:rPr>
        <w:t xml:space="preserve">value in retaining </w:t>
      </w:r>
      <w:r w:rsidRPr="000A1D4E">
        <w:rPr>
          <w:rFonts w:ascii="Franklin Gothic Book" w:hAnsi="Franklin Gothic Book" w:cstheme="minorHAnsi"/>
          <w:iCs/>
          <w:sz w:val="22"/>
          <w:szCs w:val="22"/>
        </w:rPr>
        <w:t>MBS items for single gene testing</w:t>
      </w:r>
      <w:r w:rsidR="00051044">
        <w:rPr>
          <w:rFonts w:ascii="Franklin Gothic Book" w:hAnsi="Franklin Gothic Book" w:cstheme="minorHAnsi"/>
          <w:iCs/>
          <w:sz w:val="22"/>
          <w:szCs w:val="22"/>
        </w:rPr>
        <w:t xml:space="preserve"> and doing so risks patients receiving inferior tests</w:t>
      </w:r>
      <w:r w:rsidRPr="000A1D4E">
        <w:rPr>
          <w:rFonts w:ascii="Franklin Gothic Book" w:hAnsi="Franklin Gothic Book" w:cstheme="minorHAnsi"/>
          <w:iCs/>
          <w:sz w:val="22"/>
          <w:szCs w:val="22"/>
        </w:rPr>
        <w:t xml:space="preserve">. MSAC </w:t>
      </w:r>
      <w:r w:rsidR="00051044">
        <w:rPr>
          <w:rFonts w:ascii="Franklin Gothic Book" w:hAnsi="Franklin Gothic Book" w:cstheme="minorHAnsi"/>
          <w:iCs/>
          <w:sz w:val="22"/>
          <w:szCs w:val="22"/>
        </w:rPr>
        <w:t>therefore advised</w:t>
      </w:r>
      <w:r w:rsidR="00051044"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that the proposed </w:t>
      </w:r>
      <w:r w:rsidR="00407DCE">
        <w:rPr>
          <w:rFonts w:ascii="Franklin Gothic Book" w:hAnsi="Franklin Gothic Book" w:cstheme="minorHAnsi"/>
          <w:iCs/>
          <w:sz w:val="22"/>
          <w:szCs w:val="22"/>
        </w:rPr>
        <w:t>gene panel</w:t>
      </w:r>
      <w:r w:rsidRPr="000A1D4E">
        <w:rPr>
          <w:rFonts w:ascii="Franklin Gothic Book" w:hAnsi="Franklin Gothic Book" w:cstheme="minorHAnsi"/>
          <w:iCs/>
          <w:sz w:val="22"/>
          <w:szCs w:val="22"/>
        </w:rPr>
        <w:t xml:space="preserve"> should replace </w:t>
      </w:r>
      <w:r w:rsidR="00407DCE">
        <w:rPr>
          <w:rFonts w:ascii="Franklin Gothic Book" w:hAnsi="Franklin Gothic Book" w:cstheme="minorHAnsi"/>
          <w:iCs/>
          <w:sz w:val="22"/>
          <w:szCs w:val="22"/>
        </w:rPr>
        <w:t>MBS</w:t>
      </w:r>
      <w:r w:rsidRPr="000A1D4E">
        <w:rPr>
          <w:rFonts w:ascii="Franklin Gothic Book" w:hAnsi="Franklin Gothic Book" w:cstheme="minorHAnsi"/>
          <w:iCs/>
          <w:sz w:val="22"/>
          <w:szCs w:val="22"/>
        </w:rPr>
        <w:t xml:space="preserve"> items</w:t>
      </w:r>
      <w:r w:rsidR="00BA545D">
        <w:rPr>
          <w:rFonts w:ascii="Franklin Gothic Book" w:hAnsi="Franklin Gothic Book" w:cstheme="minorHAnsi"/>
          <w:iCs/>
          <w:sz w:val="22"/>
          <w:szCs w:val="22"/>
        </w:rPr>
        <w:t xml:space="preserve"> 73371 and</w:t>
      </w:r>
      <w:r w:rsidR="00407DCE">
        <w:rPr>
          <w:rFonts w:ascii="Franklin Gothic Book" w:hAnsi="Franklin Gothic Book" w:cstheme="minorHAnsi"/>
          <w:iCs/>
          <w:sz w:val="22"/>
          <w:szCs w:val="22"/>
        </w:rPr>
        <w:t xml:space="preserve"> 73372,</w:t>
      </w:r>
      <w:r w:rsidRPr="000A1D4E">
        <w:rPr>
          <w:rFonts w:ascii="Franklin Gothic Book" w:hAnsi="Franklin Gothic Book" w:cstheme="minorHAnsi"/>
          <w:iCs/>
          <w:sz w:val="22"/>
          <w:szCs w:val="22"/>
        </w:rPr>
        <w:t xml:space="preserve"> </w:t>
      </w:r>
      <w:r w:rsidR="00407DCE">
        <w:rPr>
          <w:rFonts w:ascii="Franklin Gothic Book" w:hAnsi="Franklin Gothic Book" w:cstheme="minorHAnsi"/>
          <w:iCs/>
          <w:sz w:val="22"/>
          <w:szCs w:val="22"/>
        </w:rPr>
        <w:t>because</w:t>
      </w:r>
      <w:r w:rsidRPr="000A1D4E">
        <w:rPr>
          <w:rFonts w:ascii="Franklin Gothic Book" w:hAnsi="Franklin Gothic Book" w:cstheme="minorHAnsi"/>
          <w:iCs/>
          <w:sz w:val="22"/>
          <w:szCs w:val="22"/>
        </w:rPr>
        <w:t xml:space="preserve"> </w:t>
      </w:r>
      <w:r w:rsidR="00407DCE">
        <w:rPr>
          <w:rFonts w:ascii="Franklin Gothic Book" w:hAnsi="Franklin Gothic Book" w:cstheme="minorHAnsi"/>
          <w:iCs/>
          <w:sz w:val="22"/>
          <w:szCs w:val="22"/>
        </w:rPr>
        <w:t xml:space="preserve">gene panel testing </w:t>
      </w:r>
      <w:r w:rsidRPr="000A1D4E">
        <w:rPr>
          <w:rFonts w:ascii="Franklin Gothic Book" w:hAnsi="Franklin Gothic Book" w:cstheme="minorHAnsi"/>
          <w:iCs/>
          <w:sz w:val="22"/>
          <w:szCs w:val="22"/>
        </w:rPr>
        <w:t>is faster</w:t>
      </w:r>
      <w:r w:rsidR="00407DCE">
        <w:rPr>
          <w:rFonts w:ascii="Franklin Gothic Book" w:hAnsi="Franklin Gothic Book" w:cstheme="minorHAnsi"/>
          <w:iCs/>
          <w:sz w:val="22"/>
          <w:szCs w:val="22"/>
        </w:rPr>
        <w:t>, more efficient</w:t>
      </w:r>
      <w:r w:rsidRPr="000A1D4E">
        <w:rPr>
          <w:rFonts w:ascii="Franklin Gothic Book" w:hAnsi="Franklin Gothic Book" w:cstheme="minorHAnsi"/>
          <w:iCs/>
          <w:sz w:val="22"/>
          <w:szCs w:val="22"/>
        </w:rPr>
        <w:t xml:space="preserve"> and more reliable than </w:t>
      </w:r>
      <w:r w:rsidR="00012898">
        <w:rPr>
          <w:rFonts w:ascii="Franklin Gothic Book" w:hAnsi="Franklin Gothic Book" w:cstheme="minorHAnsi"/>
          <w:iCs/>
          <w:sz w:val="22"/>
          <w:szCs w:val="22"/>
        </w:rPr>
        <w:t xml:space="preserve">the </w:t>
      </w:r>
      <w:r w:rsidR="0043164E">
        <w:rPr>
          <w:rFonts w:ascii="Franklin Gothic Book" w:hAnsi="Franklin Gothic Book" w:cstheme="minorHAnsi"/>
          <w:iCs/>
          <w:sz w:val="22"/>
          <w:szCs w:val="22"/>
        </w:rPr>
        <w:t>existing</w:t>
      </w:r>
      <w:r w:rsidR="00012898">
        <w:rPr>
          <w:rFonts w:ascii="Franklin Gothic Book" w:hAnsi="Franklin Gothic Book" w:cstheme="minorHAnsi"/>
          <w:iCs/>
          <w:sz w:val="22"/>
          <w:szCs w:val="22"/>
        </w:rPr>
        <w:t xml:space="preserve"> </w:t>
      </w:r>
      <w:r w:rsidR="00326C54">
        <w:rPr>
          <w:rFonts w:ascii="Franklin Gothic Book" w:hAnsi="Franklin Gothic Book" w:cstheme="minorHAnsi"/>
          <w:iCs/>
          <w:sz w:val="22"/>
          <w:szCs w:val="22"/>
        </w:rPr>
        <w:t xml:space="preserve">sequential </w:t>
      </w:r>
      <w:r w:rsidR="00012898">
        <w:rPr>
          <w:rFonts w:ascii="Franklin Gothic Book" w:hAnsi="Franklin Gothic Book" w:cstheme="minorHAnsi"/>
          <w:iCs/>
          <w:sz w:val="22"/>
          <w:szCs w:val="22"/>
        </w:rPr>
        <w:t>single gene test</w:t>
      </w:r>
      <w:r w:rsidR="00407DCE">
        <w:rPr>
          <w:rFonts w:ascii="Franklin Gothic Book" w:hAnsi="Franklin Gothic Book" w:cstheme="minorHAnsi"/>
          <w:iCs/>
          <w:sz w:val="22"/>
          <w:szCs w:val="22"/>
        </w:rPr>
        <w:t>s</w:t>
      </w:r>
      <w:r w:rsidRPr="000A1D4E">
        <w:rPr>
          <w:rFonts w:ascii="Franklin Gothic Book" w:hAnsi="Franklin Gothic Book" w:cstheme="minorHAnsi"/>
          <w:iCs/>
          <w:sz w:val="22"/>
          <w:szCs w:val="22"/>
        </w:rPr>
        <w:t xml:space="preserve">. MSAC recommended that MBS items 73371 and 73372 be phased out within </w:t>
      </w:r>
      <w:r w:rsidR="008646DC">
        <w:rPr>
          <w:rFonts w:ascii="Franklin Gothic Book" w:hAnsi="Franklin Gothic Book" w:cstheme="minorHAnsi"/>
          <w:iCs/>
          <w:sz w:val="22"/>
          <w:szCs w:val="22"/>
        </w:rPr>
        <w:t xml:space="preserve">no more than </w:t>
      </w:r>
      <w:r w:rsidRPr="000A1D4E">
        <w:rPr>
          <w:rFonts w:ascii="Franklin Gothic Book" w:hAnsi="Franklin Gothic Book" w:cstheme="minorHAnsi"/>
          <w:iCs/>
          <w:sz w:val="22"/>
          <w:szCs w:val="22"/>
        </w:rPr>
        <w:t xml:space="preserve">12 months of </w:t>
      </w:r>
      <w:r w:rsidR="00051044">
        <w:rPr>
          <w:rFonts w:ascii="Franklin Gothic Book" w:hAnsi="Franklin Gothic Book" w:cstheme="minorHAnsi"/>
          <w:iCs/>
          <w:sz w:val="22"/>
          <w:szCs w:val="22"/>
        </w:rPr>
        <w:t>listing</w:t>
      </w:r>
      <w:r w:rsidR="00051044"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the new </w:t>
      </w:r>
      <w:r w:rsidR="00012898" w:rsidRPr="000A1D4E">
        <w:rPr>
          <w:rFonts w:ascii="Franklin Gothic Book" w:hAnsi="Franklin Gothic Book" w:cstheme="minorHAnsi"/>
          <w:iCs/>
          <w:sz w:val="22"/>
          <w:szCs w:val="22"/>
        </w:rPr>
        <w:t xml:space="preserve">MBS item </w:t>
      </w:r>
      <w:r w:rsidR="00012898">
        <w:rPr>
          <w:rFonts w:ascii="Franklin Gothic Book" w:hAnsi="Franklin Gothic Book" w:cstheme="minorHAnsi"/>
          <w:iCs/>
          <w:sz w:val="22"/>
          <w:szCs w:val="22"/>
        </w:rPr>
        <w:t xml:space="preserve">for </w:t>
      </w:r>
      <w:r w:rsidRPr="000A1D4E">
        <w:rPr>
          <w:rFonts w:ascii="Franklin Gothic Book" w:hAnsi="Franklin Gothic Book" w:cstheme="minorHAnsi"/>
          <w:iCs/>
          <w:sz w:val="22"/>
          <w:szCs w:val="22"/>
        </w:rPr>
        <w:t>glioma gene panel</w:t>
      </w:r>
      <w:r w:rsidR="00407DCE">
        <w:rPr>
          <w:rFonts w:ascii="Franklin Gothic Book" w:hAnsi="Franklin Gothic Book" w:cstheme="minorHAnsi"/>
          <w:iCs/>
          <w:sz w:val="22"/>
          <w:szCs w:val="22"/>
        </w:rPr>
        <w:t xml:space="preserve"> testing</w:t>
      </w:r>
      <w:r w:rsidRPr="000A1D4E">
        <w:rPr>
          <w:rFonts w:ascii="Franklin Gothic Book" w:hAnsi="Franklin Gothic Book" w:cstheme="minorHAnsi"/>
          <w:iCs/>
          <w:sz w:val="22"/>
          <w:szCs w:val="22"/>
        </w:rPr>
        <w:t xml:space="preserve">. MSAC recommended that the Department liaise with the RCPA to assist with this </w:t>
      </w:r>
      <w:r w:rsidR="00407DCE">
        <w:rPr>
          <w:rFonts w:ascii="Franklin Gothic Book" w:hAnsi="Franklin Gothic Book" w:cstheme="minorHAnsi"/>
          <w:iCs/>
          <w:sz w:val="22"/>
          <w:szCs w:val="22"/>
        </w:rPr>
        <w:t>sunsetting</w:t>
      </w:r>
      <w:r w:rsidRPr="000A1D4E">
        <w:rPr>
          <w:rFonts w:ascii="Franklin Gothic Book" w:hAnsi="Franklin Gothic Book" w:cstheme="minorHAnsi"/>
          <w:iCs/>
          <w:sz w:val="22"/>
          <w:szCs w:val="22"/>
        </w:rPr>
        <w:t>. MSAC recommended that MBS item 73373 be retained</w:t>
      </w:r>
      <w:r w:rsidR="00722BC6">
        <w:rPr>
          <w:rFonts w:ascii="Franklin Gothic Book" w:hAnsi="Franklin Gothic Book" w:cstheme="minorHAnsi"/>
          <w:iCs/>
          <w:sz w:val="22"/>
          <w:szCs w:val="22"/>
        </w:rPr>
        <w:t xml:space="preserve"> as a standalone item as the methodology required to characterise </w:t>
      </w:r>
      <w:r w:rsidR="00722BC6">
        <w:rPr>
          <w:rFonts w:ascii="Franklin Gothic Book" w:hAnsi="Franklin Gothic Book" w:cstheme="minorHAnsi"/>
          <w:i/>
          <w:sz w:val="22"/>
          <w:szCs w:val="22"/>
        </w:rPr>
        <w:t xml:space="preserve">MGMT </w:t>
      </w:r>
      <w:r w:rsidR="00722BC6">
        <w:rPr>
          <w:rFonts w:ascii="Franklin Gothic Book" w:hAnsi="Franklin Gothic Book" w:cstheme="minorHAnsi"/>
          <w:iCs/>
          <w:sz w:val="22"/>
          <w:szCs w:val="22"/>
        </w:rPr>
        <w:t>methylation is likely to differ from the methodology for the proposed service.</w:t>
      </w:r>
      <w:r w:rsidRPr="000A1D4E">
        <w:rPr>
          <w:rFonts w:ascii="Franklin Gothic Book" w:hAnsi="Franklin Gothic Book" w:cstheme="minorHAnsi"/>
          <w:iCs/>
          <w:sz w:val="22"/>
          <w:szCs w:val="22"/>
        </w:rPr>
        <w:t xml:space="preserve"> </w:t>
      </w:r>
      <w:r w:rsidR="00722BC6">
        <w:rPr>
          <w:rFonts w:ascii="Franklin Gothic Book" w:hAnsi="Franklin Gothic Book" w:cstheme="minorHAnsi"/>
          <w:iCs/>
          <w:sz w:val="22"/>
          <w:szCs w:val="22"/>
        </w:rPr>
        <w:t>MSAC</w:t>
      </w:r>
      <w:r w:rsidR="00012898">
        <w:rPr>
          <w:rFonts w:ascii="Franklin Gothic Book" w:hAnsi="Franklin Gothic Book" w:cstheme="minorHAnsi"/>
          <w:iCs/>
          <w:sz w:val="22"/>
          <w:szCs w:val="22"/>
        </w:rPr>
        <w:t xml:space="preserve"> </w:t>
      </w:r>
      <w:r w:rsidR="00407DCE">
        <w:rPr>
          <w:rFonts w:ascii="Franklin Gothic Book" w:hAnsi="Franklin Gothic Book" w:cstheme="minorHAnsi"/>
          <w:iCs/>
          <w:sz w:val="22"/>
          <w:szCs w:val="22"/>
        </w:rPr>
        <w:t xml:space="preserve">also advised </w:t>
      </w:r>
      <w:r w:rsidR="00722BC6">
        <w:rPr>
          <w:rFonts w:ascii="Franklin Gothic Book" w:hAnsi="Franklin Gothic Book" w:cstheme="minorHAnsi"/>
          <w:iCs/>
          <w:sz w:val="22"/>
          <w:szCs w:val="22"/>
        </w:rPr>
        <w:t xml:space="preserve">that the proposed service </w:t>
      </w:r>
      <w:r w:rsidR="00407DCE">
        <w:rPr>
          <w:rFonts w:ascii="Franklin Gothic Book" w:hAnsi="Franklin Gothic Book" w:cstheme="minorHAnsi"/>
          <w:iCs/>
          <w:sz w:val="22"/>
          <w:szCs w:val="22"/>
        </w:rPr>
        <w:t xml:space="preserve">should </w:t>
      </w:r>
      <w:r w:rsidR="00012898">
        <w:rPr>
          <w:rFonts w:ascii="Franklin Gothic Book" w:hAnsi="Franklin Gothic Book" w:cstheme="minorHAnsi"/>
          <w:iCs/>
          <w:sz w:val="22"/>
          <w:szCs w:val="22"/>
        </w:rPr>
        <w:t>be made</w:t>
      </w:r>
      <w:r w:rsidRPr="000A1D4E">
        <w:rPr>
          <w:rFonts w:ascii="Franklin Gothic Book" w:hAnsi="Franklin Gothic Book" w:cstheme="minorHAnsi"/>
          <w:iCs/>
          <w:sz w:val="22"/>
          <w:szCs w:val="22"/>
        </w:rPr>
        <w:t xml:space="preserve"> pathologist-determinable </w:t>
      </w:r>
      <w:r w:rsidR="00051044">
        <w:rPr>
          <w:rFonts w:ascii="Franklin Gothic Book" w:hAnsi="Franklin Gothic Book" w:cstheme="minorHAnsi"/>
          <w:iCs/>
          <w:sz w:val="22"/>
          <w:szCs w:val="22"/>
        </w:rPr>
        <w:t>because</w:t>
      </w:r>
      <w:r w:rsidR="00051044"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g</w:t>
      </w:r>
      <w:r w:rsidR="00051044">
        <w:rPr>
          <w:rFonts w:ascii="Franklin Gothic Book" w:hAnsi="Franklin Gothic Book" w:cstheme="minorHAnsi"/>
          <w:iCs/>
          <w:sz w:val="22"/>
          <w:szCs w:val="22"/>
        </w:rPr>
        <w:t>lioma</w:t>
      </w:r>
      <w:r w:rsidRPr="000A1D4E">
        <w:rPr>
          <w:rFonts w:ascii="Franklin Gothic Book" w:hAnsi="Franklin Gothic Book" w:cstheme="minorHAnsi"/>
          <w:iCs/>
          <w:sz w:val="22"/>
          <w:szCs w:val="22"/>
        </w:rPr>
        <w:t xml:space="preserve"> panel testing </w:t>
      </w:r>
      <w:r w:rsidR="00407DCE">
        <w:rPr>
          <w:rFonts w:ascii="Franklin Gothic Book" w:hAnsi="Franklin Gothic Book" w:cstheme="minorHAnsi"/>
          <w:iCs/>
          <w:sz w:val="22"/>
          <w:szCs w:val="22"/>
        </w:rPr>
        <w:t>would</w:t>
      </w:r>
      <w:r w:rsidR="00407DCE"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not replace this </w:t>
      </w:r>
      <w:r w:rsidR="00407DCE">
        <w:rPr>
          <w:rFonts w:ascii="Franklin Gothic Book" w:hAnsi="Franklin Gothic Book" w:cstheme="minorHAnsi"/>
          <w:iCs/>
          <w:sz w:val="22"/>
          <w:szCs w:val="22"/>
        </w:rPr>
        <w:t xml:space="preserve">standalone </w:t>
      </w:r>
      <w:r w:rsidRPr="000A1D4E">
        <w:rPr>
          <w:rFonts w:ascii="Franklin Gothic Book" w:hAnsi="Franklin Gothic Book" w:cstheme="minorHAnsi"/>
          <w:iCs/>
          <w:sz w:val="22"/>
          <w:szCs w:val="22"/>
        </w:rPr>
        <w:t>test.</w:t>
      </w:r>
    </w:p>
    <w:p w14:paraId="2215471B" w14:textId="1107AFB0" w:rsidR="001752AA" w:rsidRDefault="001752AA" w:rsidP="001752AA">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the </w:t>
      </w:r>
      <w:r>
        <w:rPr>
          <w:rFonts w:ascii="Franklin Gothic Book" w:hAnsi="Franklin Gothic Book" w:cstheme="minorHAnsi"/>
          <w:iCs/>
          <w:sz w:val="22"/>
          <w:szCs w:val="22"/>
        </w:rPr>
        <w:t xml:space="preserve">applicant’s </w:t>
      </w:r>
      <w:r w:rsidRPr="000A1D4E">
        <w:rPr>
          <w:rFonts w:ascii="Franklin Gothic Book" w:hAnsi="Franklin Gothic Book" w:cstheme="minorHAnsi"/>
          <w:iCs/>
          <w:sz w:val="22"/>
          <w:szCs w:val="22"/>
        </w:rPr>
        <w:t xml:space="preserve">pre-MSAC response </w:t>
      </w:r>
      <w:r>
        <w:rPr>
          <w:rFonts w:ascii="Franklin Gothic Book" w:hAnsi="Franklin Gothic Book" w:cstheme="minorHAnsi"/>
          <w:iCs/>
          <w:sz w:val="22"/>
          <w:szCs w:val="22"/>
        </w:rPr>
        <w:t>confirmed</w:t>
      </w:r>
      <w:r w:rsidRPr="000A1D4E">
        <w:rPr>
          <w:rFonts w:ascii="Franklin Gothic Book" w:hAnsi="Franklin Gothic Book" w:cstheme="minorHAnsi"/>
          <w:iCs/>
          <w:sz w:val="22"/>
          <w:szCs w:val="22"/>
        </w:rPr>
        <w:t xml:space="preserve"> that the </w:t>
      </w:r>
      <w:r>
        <w:rPr>
          <w:rFonts w:ascii="Franklin Gothic Book" w:hAnsi="Franklin Gothic Book" w:cstheme="minorHAnsi"/>
          <w:iCs/>
          <w:sz w:val="22"/>
          <w:szCs w:val="22"/>
        </w:rPr>
        <w:t xml:space="preserve">85% </w:t>
      </w:r>
      <w:r w:rsidRPr="000A1D4E">
        <w:rPr>
          <w:rFonts w:ascii="Franklin Gothic Book" w:hAnsi="Franklin Gothic Book" w:cstheme="minorHAnsi"/>
          <w:iCs/>
          <w:sz w:val="22"/>
          <w:szCs w:val="22"/>
        </w:rPr>
        <w:t xml:space="preserve">MBS fee </w:t>
      </w:r>
      <w:r>
        <w:rPr>
          <w:rFonts w:ascii="Franklin Gothic Book" w:hAnsi="Franklin Gothic Book" w:cstheme="minorHAnsi"/>
          <w:iCs/>
          <w:sz w:val="22"/>
          <w:szCs w:val="22"/>
        </w:rPr>
        <w:t>was proposed to</w:t>
      </w:r>
      <w:r w:rsidRPr="000A1D4E">
        <w:rPr>
          <w:rFonts w:ascii="Franklin Gothic Book" w:hAnsi="Franklin Gothic Book" w:cstheme="minorHAnsi"/>
          <w:iCs/>
          <w:sz w:val="22"/>
          <w:szCs w:val="22"/>
        </w:rPr>
        <w:t xml:space="preserve"> be $</w:t>
      </w:r>
      <w:r>
        <w:rPr>
          <w:rFonts w:ascii="Franklin Gothic Book" w:hAnsi="Franklin Gothic Book" w:cstheme="minorHAnsi"/>
          <w:iCs/>
          <w:sz w:val="22"/>
          <w:szCs w:val="22"/>
        </w:rPr>
        <w:t>800</w:t>
      </w:r>
      <w:r w:rsidR="00112E8C">
        <w:rPr>
          <w:rFonts w:ascii="Franklin Gothic Book" w:hAnsi="Franklin Gothic Book" w:cstheme="minorHAnsi"/>
          <w:iCs/>
          <w:sz w:val="22"/>
          <w:szCs w:val="22"/>
        </w:rPr>
        <w:t>. C</w:t>
      </w:r>
      <w:r>
        <w:rPr>
          <w:rFonts w:ascii="Franklin Gothic Book" w:hAnsi="Franklin Gothic Book" w:cstheme="minorHAnsi"/>
          <w:iCs/>
          <w:sz w:val="22"/>
          <w:szCs w:val="22"/>
        </w:rPr>
        <w:t>onsider</w:t>
      </w:r>
      <w:r w:rsidR="00112E8C">
        <w:rPr>
          <w:rFonts w:ascii="Franklin Gothic Book" w:hAnsi="Franklin Gothic Book" w:cstheme="minorHAnsi"/>
          <w:iCs/>
          <w:sz w:val="22"/>
          <w:szCs w:val="22"/>
        </w:rPr>
        <w:t>ing</w:t>
      </w:r>
      <w:r>
        <w:rPr>
          <w:rFonts w:ascii="Franklin Gothic Book" w:hAnsi="Franklin Gothic Book" w:cstheme="minorHAnsi"/>
          <w:iCs/>
          <w:sz w:val="22"/>
          <w:szCs w:val="22"/>
        </w:rPr>
        <w:t xml:space="preserve"> that the Greatest Permissible Gap </w:t>
      </w:r>
      <w:r w:rsidR="00112E8C">
        <w:rPr>
          <w:rFonts w:ascii="Franklin Gothic Book" w:hAnsi="Franklin Gothic Book" w:cstheme="minorHAnsi"/>
          <w:iCs/>
          <w:sz w:val="22"/>
          <w:szCs w:val="22"/>
        </w:rPr>
        <w:t>is</w:t>
      </w:r>
      <w:r>
        <w:rPr>
          <w:rFonts w:ascii="Franklin Gothic Book" w:hAnsi="Franklin Gothic Book" w:cstheme="minorHAnsi"/>
          <w:iCs/>
          <w:sz w:val="22"/>
          <w:szCs w:val="22"/>
        </w:rPr>
        <w:t xml:space="preserve"> $87.90 th</w:t>
      </w:r>
      <w:r w:rsidR="00112E8C">
        <w:rPr>
          <w:rFonts w:ascii="Franklin Gothic Book" w:hAnsi="Franklin Gothic Book" w:cstheme="minorHAnsi"/>
          <w:iCs/>
          <w:sz w:val="22"/>
          <w:szCs w:val="22"/>
        </w:rPr>
        <w:t>e proposed 85%</w:t>
      </w:r>
      <w:r w:rsidR="00A2660A">
        <w:rPr>
          <w:rFonts w:ascii="Franklin Gothic Book" w:hAnsi="Franklin Gothic Book" w:cstheme="minorHAnsi"/>
          <w:iCs/>
          <w:sz w:val="22"/>
          <w:szCs w:val="22"/>
        </w:rPr>
        <w:t xml:space="preserve"> </w:t>
      </w:r>
      <w:r w:rsidR="00112E8C">
        <w:rPr>
          <w:rFonts w:ascii="Franklin Gothic Book" w:hAnsi="Franklin Gothic Book" w:cstheme="minorHAnsi"/>
          <w:iCs/>
          <w:sz w:val="22"/>
          <w:szCs w:val="22"/>
        </w:rPr>
        <w:t>MBS fee of $800</w:t>
      </w:r>
      <w:r w:rsidR="00DB77F3">
        <w:rPr>
          <w:rFonts w:ascii="Franklin Gothic Book" w:hAnsi="Franklin Gothic Book" w:cstheme="minorHAnsi"/>
          <w:iCs/>
          <w:sz w:val="22"/>
          <w:szCs w:val="22"/>
        </w:rPr>
        <w:t xml:space="preserve"> equate</w:t>
      </w:r>
      <w:r w:rsidR="00112E8C">
        <w:rPr>
          <w:rFonts w:ascii="Franklin Gothic Book" w:hAnsi="Franklin Gothic Book" w:cstheme="minorHAnsi"/>
          <w:iCs/>
          <w:sz w:val="22"/>
          <w:szCs w:val="22"/>
        </w:rPr>
        <w:t>s</w:t>
      </w:r>
      <w:r>
        <w:rPr>
          <w:rFonts w:ascii="Franklin Gothic Book" w:hAnsi="Franklin Gothic Book" w:cstheme="minorHAnsi"/>
          <w:iCs/>
          <w:sz w:val="22"/>
          <w:szCs w:val="22"/>
        </w:rPr>
        <w:t xml:space="preserve"> to a </w:t>
      </w:r>
      <w:r w:rsidR="00112E8C">
        <w:rPr>
          <w:rFonts w:ascii="Franklin Gothic Book" w:hAnsi="Franklin Gothic Book" w:cstheme="minorHAnsi"/>
          <w:iCs/>
          <w:sz w:val="22"/>
          <w:szCs w:val="22"/>
        </w:rPr>
        <w:t xml:space="preserve">full MBS </w:t>
      </w:r>
      <w:r>
        <w:rPr>
          <w:rFonts w:ascii="Franklin Gothic Book" w:hAnsi="Franklin Gothic Book" w:cstheme="minorHAnsi"/>
          <w:iCs/>
          <w:sz w:val="22"/>
          <w:szCs w:val="22"/>
        </w:rPr>
        <w:t xml:space="preserve">fee of $887.90. MSAC considered that this fee would permit testing of more than the minimum </w:t>
      </w:r>
      <w:r w:rsidR="00C56A18">
        <w:rPr>
          <w:rFonts w:ascii="Franklin Gothic Book" w:hAnsi="Franklin Gothic Book" w:cstheme="minorHAnsi"/>
          <w:iCs/>
          <w:sz w:val="22"/>
          <w:szCs w:val="22"/>
        </w:rPr>
        <w:t xml:space="preserve">set of nine </w:t>
      </w:r>
      <w:r>
        <w:rPr>
          <w:rFonts w:ascii="Franklin Gothic Book" w:hAnsi="Franklin Gothic Book" w:cstheme="minorHAnsi"/>
          <w:iCs/>
          <w:sz w:val="22"/>
          <w:szCs w:val="22"/>
        </w:rPr>
        <w:t>gene</w:t>
      </w:r>
      <w:r w:rsidR="00C56A18">
        <w:rPr>
          <w:rFonts w:ascii="Franklin Gothic Book" w:hAnsi="Franklin Gothic Book" w:cstheme="minorHAnsi"/>
          <w:iCs/>
          <w:sz w:val="22"/>
          <w:szCs w:val="22"/>
        </w:rPr>
        <w:t>s</w:t>
      </w:r>
      <w:r>
        <w:rPr>
          <w:rFonts w:ascii="Franklin Gothic Book" w:hAnsi="Franklin Gothic Book" w:cstheme="minorHAnsi"/>
          <w:iCs/>
          <w:sz w:val="22"/>
          <w:szCs w:val="22"/>
        </w:rPr>
        <w:t xml:space="preserve"> listed in the item descriptor, </w:t>
      </w:r>
      <w:r w:rsidR="00326C54">
        <w:rPr>
          <w:rFonts w:ascii="Franklin Gothic Book" w:hAnsi="Franklin Gothic Book" w:cstheme="minorHAnsi"/>
          <w:iCs/>
          <w:sz w:val="22"/>
          <w:szCs w:val="22"/>
        </w:rPr>
        <w:t xml:space="preserve">with </w:t>
      </w:r>
      <w:r>
        <w:rPr>
          <w:rFonts w:ascii="Franklin Gothic Book" w:hAnsi="Franklin Gothic Book" w:cstheme="minorHAnsi"/>
          <w:iCs/>
          <w:sz w:val="22"/>
          <w:szCs w:val="22"/>
        </w:rPr>
        <w:t>up to 25 genes</w:t>
      </w:r>
      <w:r w:rsidR="00326C54">
        <w:rPr>
          <w:rFonts w:ascii="Franklin Gothic Book" w:hAnsi="Franklin Gothic Book" w:cstheme="minorHAnsi"/>
          <w:iCs/>
          <w:sz w:val="22"/>
          <w:szCs w:val="22"/>
        </w:rPr>
        <w:t xml:space="preserve"> commonly tested in this clinical setting</w:t>
      </w:r>
      <w:r w:rsidRPr="000A1D4E">
        <w:rPr>
          <w:rFonts w:ascii="Franklin Gothic Book" w:hAnsi="Franklin Gothic Book" w:cstheme="minorHAnsi"/>
          <w:iCs/>
          <w:sz w:val="22"/>
          <w:szCs w:val="22"/>
        </w:rPr>
        <w:t>.</w:t>
      </w:r>
      <w:r>
        <w:rPr>
          <w:rFonts w:ascii="Franklin Gothic Book" w:hAnsi="Franklin Gothic Book" w:cstheme="minorHAnsi"/>
          <w:iCs/>
          <w:sz w:val="22"/>
          <w:szCs w:val="22"/>
        </w:rPr>
        <w:t xml:space="preserve"> </w:t>
      </w:r>
    </w:p>
    <w:p w14:paraId="747D22FD" w14:textId="7D25D2FE" w:rsidR="00841F28" w:rsidRPr="000A1D4E" w:rsidRDefault="00841F28" w:rsidP="00841F28">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w:t>
      </w:r>
      <w:r>
        <w:rPr>
          <w:rFonts w:ascii="Franklin Gothic Book" w:hAnsi="Franklin Gothic Book" w:cstheme="minorHAnsi"/>
          <w:iCs/>
          <w:sz w:val="22"/>
          <w:szCs w:val="22"/>
        </w:rPr>
        <w:t xml:space="preserve">noted that the application was for diagnostic purposes specifically, and </w:t>
      </w:r>
      <w:r w:rsidRPr="000A1D4E">
        <w:rPr>
          <w:rFonts w:ascii="Franklin Gothic Book" w:hAnsi="Franklin Gothic Book" w:cstheme="minorHAnsi"/>
          <w:iCs/>
          <w:sz w:val="22"/>
          <w:szCs w:val="22"/>
        </w:rPr>
        <w:t xml:space="preserve">advised that the use of </w:t>
      </w:r>
      <w:r>
        <w:rPr>
          <w:rFonts w:ascii="Franklin Gothic Book" w:hAnsi="Franklin Gothic Book" w:cstheme="minorHAnsi"/>
          <w:iCs/>
          <w:sz w:val="22"/>
          <w:szCs w:val="22"/>
        </w:rPr>
        <w:t xml:space="preserve">glioma </w:t>
      </w:r>
      <w:r w:rsidRPr="000A1D4E">
        <w:rPr>
          <w:rFonts w:ascii="Franklin Gothic Book" w:hAnsi="Franklin Gothic Book" w:cstheme="minorHAnsi"/>
          <w:iCs/>
          <w:sz w:val="22"/>
          <w:szCs w:val="22"/>
        </w:rPr>
        <w:t>genetic panels for the purpose</w:t>
      </w:r>
      <w:r>
        <w:rPr>
          <w:rFonts w:ascii="Franklin Gothic Book" w:hAnsi="Franklin Gothic Book" w:cstheme="minorHAnsi"/>
          <w:iCs/>
          <w:sz w:val="22"/>
          <w:szCs w:val="22"/>
        </w:rPr>
        <w:t>s</w:t>
      </w:r>
      <w:r w:rsidRPr="000A1D4E">
        <w:rPr>
          <w:rFonts w:ascii="Franklin Gothic Book" w:hAnsi="Franklin Gothic Book" w:cstheme="minorHAnsi"/>
          <w:iCs/>
          <w:sz w:val="22"/>
          <w:szCs w:val="22"/>
        </w:rPr>
        <w:t xml:space="preserve"> of prognostication or determining </w:t>
      </w:r>
      <w:r>
        <w:rPr>
          <w:rFonts w:ascii="Franklin Gothic Book" w:hAnsi="Franklin Gothic Book" w:cstheme="minorHAnsi"/>
          <w:iCs/>
          <w:sz w:val="22"/>
          <w:szCs w:val="22"/>
        </w:rPr>
        <w:t>predictive</w:t>
      </w:r>
      <w:r w:rsidRPr="000A1D4E">
        <w:rPr>
          <w:rFonts w:ascii="Franklin Gothic Book" w:hAnsi="Franklin Gothic Book" w:cstheme="minorHAnsi"/>
          <w:iCs/>
          <w:sz w:val="22"/>
          <w:szCs w:val="22"/>
        </w:rPr>
        <w:t xml:space="preserve"> targets </w:t>
      </w:r>
      <w:r w:rsidR="00DD013A">
        <w:rPr>
          <w:rFonts w:ascii="Franklin Gothic Book" w:hAnsi="Franklin Gothic Book" w:cstheme="minorHAnsi"/>
          <w:iCs/>
          <w:sz w:val="22"/>
          <w:szCs w:val="22"/>
        </w:rPr>
        <w:t xml:space="preserve">(i.e. those with </w:t>
      </w:r>
      <w:r w:rsidR="007344F5">
        <w:rPr>
          <w:rFonts w:ascii="Franklin Gothic Book" w:hAnsi="Franklin Gothic Book" w:cstheme="minorHAnsi"/>
          <w:iCs/>
          <w:sz w:val="22"/>
          <w:szCs w:val="22"/>
        </w:rPr>
        <w:t xml:space="preserve">targeted therapies) </w:t>
      </w:r>
      <w:r>
        <w:rPr>
          <w:rFonts w:ascii="Franklin Gothic Book" w:hAnsi="Franklin Gothic Book" w:cstheme="minorHAnsi"/>
          <w:iCs/>
          <w:sz w:val="22"/>
          <w:szCs w:val="22"/>
        </w:rPr>
        <w:t>would</w:t>
      </w:r>
      <w:r w:rsidRPr="000A1D4E">
        <w:rPr>
          <w:rFonts w:ascii="Franklin Gothic Book" w:hAnsi="Franklin Gothic Book" w:cstheme="minorHAnsi"/>
          <w:iCs/>
          <w:sz w:val="22"/>
          <w:szCs w:val="22"/>
        </w:rPr>
        <w:t xml:space="preserve"> require a larger panel</w:t>
      </w:r>
      <w:r>
        <w:rPr>
          <w:rFonts w:ascii="Franklin Gothic Book" w:hAnsi="Franklin Gothic Book" w:cstheme="minorHAnsi"/>
          <w:iCs/>
          <w:sz w:val="22"/>
          <w:szCs w:val="22"/>
        </w:rPr>
        <w:t xml:space="preserve"> and fee,</w:t>
      </w:r>
      <w:r w:rsidRPr="000A1D4E">
        <w:rPr>
          <w:rFonts w:ascii="Franklin Gothic Book" w:hAnsi="Franklin Gothic Book" w:cstheme="minorHAnsi"/>
          <w:iCs/>
          <w:sz w:val="22"/>
          <w:szCs w:val="22"/>
        </w:rPr>
        <w:t xml:space="preserve"> </w:t>
      </w:r>
      <w:r>
        <w:rPr>
          <w:rFonts w:ascii="Franklin Gothic Book" w:hAnsi="Franklin Gothic Book" w:cstheme="minorHAnsi"/>
          <w:iCs/>
          <w:sz w:val="22"/>
          <w:szCs w:val="22"/>
        </w:rPr>
        <w:t xml:space="preserve">and </w:t>
      </w:r>
      <w:r w:rsidRPr="000A1D4E">
        <w:rPr>
          <w:rFonts w:ascii="Franklin Gothic Book" w:hAnsi="Franklin Gothic Book" w:cstheme="minorHAnsi"/>
          <w:iCs/>
          <w:sz w:val="22"/>
          <w:szCs w:val="22"/>
        </w:rPr>
        <w:t xml:space="preserve">that </w:t>
      </w:r>
      <w:r>
        <w:rPr>
          <w:rFonts w:ascii="Franklin Gothic Book" w:hAnsi="Franklin Gothic Book" w:cstheme="minorHAnsi"/>
          <w:iCs/>
          <w:sz w:val="22"/>
          <w:szCs w:val="22"/>
        </w:rPr>
        <w:t xml:space="preserve">such a proposal </w:t>
      </w:r>
      <w:r w:rsidRPr="000A1D4E">
        <w:rPr>
          <w:rFonts w:ascii="Franklin Gothic Book" w:hAnsi="Franklin Gothic Book" w:cstheme="minorHAnsi"/>
          <w:iCs/>
          <w:sz w:val="22"/>
          <w:szCs w:val="22"/>
        </w:rPr>
        <w:t xml:space="preserve">would require further consideration through the MSAC process. </w:t>
      </w:r>
      <w:r w:rsidR="00854F21">
        <w:rPr>
          <w:rFonts w:ascii="Franklin Gothic Book" w:hAnsi="Franklin Gothic Book" w:cstheme="minorHAnsi"/>
          <w:iCs/>
          <w:sz w:val="22"/>
          <w:szCs w:val="22"/>
        </w:rPr>
        <w:t xml:space="preserve">MSAC noted the Department-Contracted Assessment Report (DCAR) considered up to 48 genes could be relevant to testing, including genes from the CNS5 and also genes included in other guidelines. </w:t>
      </w:r>
      <w:r w:rsidR="00F45D48">
        <w:rPr>
          <w:rFonts w:ascii="Franklin Gothic Book" w:hAnsi="Franklin Gothic Book" w:cstheme="minorHAnsi"/>
          <w:iCs/>
          <w:sz w:val="22"/>
          <w:szCs w:val="22"/>
        </w:rPr>
        <w:t>MSAC considered that i</w:t>
      </w:r>
      <w:r w:rsidR="00DB77F3" w:rsidRPr="00DB77F3">
        <w:rPr>
          <w:rFonts w:ascii="Franklin Gothic Book" w:hAnsi="Franklin Gothic Book" w:cstheme="minorHAnsi"/>
          <w:iCs/>
          <w:sz w:val="22"/>
          <w:szCs w:val="22"/>
        </w:rPr>
        <w:t xml:space="preserve">n particular, identification of genetic changes in the </w:t>
      </w:r>
      <w:r w:rsidR="00DB77F3" w:rsidRPr="00DB77F3">
        <w:rPr>
          <w:rFonts w:ascii="Franklin Gothic Book" w:hAnsi="Franklin Gothic Book" w:cstheme="minorHAnsi"/>
          <w:i/>
          <w:sz w:val="22"/>
          <w:szCs w:val="22"/>
        </w:rPr>
        <w:t>IDH1, IDH2, H3F3A, TERT, EGFR, CDKN2A, CDKN2B</w:t>
      </w:r>
      <w:r w:rsidR="00DB77F3" w:rsidRPr="00DB77F3">
        <w:rPr>
          <w:rFonts w:ascii="Franklin Gothic Book" w:hAnsi="Franklin Gothic Book" w:cstheme="minorHAnsi"/>
          <w:iCs/>
          <w:sz w:val="22"/>
          <w:szCs w:val="22"/>
        </w:rPr>
        <w:t xml:space="preserve">, and </w:t>
      </w:r>
      <w:r w:rsidR="00DB77F3" w:rsidRPr="00DB77F3">
        <w:rPr>
          <w:rFonts w:ascii="Franklin Gothic Book" w:hAnsi="Franklin Gothic Book" w:cstheme="minorHAnsi"/>
          <w:i/>
          <w:sz w:val="22"/>
          <w:szCs w:val="22"/>
        </w:rPr>
        <w:t>BRAF</w:t>
      </w:r>
      <w:r w:rsidR="00DB77F3" w:rsidRPr="00DB77F3">
        <w:rPr>
          <w:rFonts w:ascii="Franklin Gothic Book" w:hAnsi="Franklin Gothic Book" w:cstheme="minorHAnsi"/>
          <w:iCs/>
          <w:sz w:val="22"/>
          <w:szCs w:val="22"/>
        </w:rPr>
        <w:t xml:space="preserve"> genes, as well </w:t>
      </w:r>
      <w:r w:rsidR="00DB77F3">
        <w:rPr>
          <w:rFonts w:ascii="Franklin Gothic Book" w:hAnsi="Franklin Gothic Book" w:cstheme="minorHAnsi"/>
          <w:iCs/>
          <w:sz w:val="22"/>
          <w:szCs w:val="22"/>
        </w:rPr>
        <w:t xml:space="preserve">as </w:t>
      </w:r>
      <w:r w:rsidR="00DB77F3" w:rsidRPr="00DB77F3">
        <w:rPr>
          <w:rFonts w:ascii="Franklin Gothic Book" w:hAnsi="Franklin Gothic Book" w:cstheme="minorHAnsi"/>
          <w:iCs/>
          <w:sz w:val="22"/>
          <w:szCs w:val="22"/>
        </w:rPr>
        <w:t>1p/19q chromosomal abnormalities,</w:t>
      </w:r>
      <w:r w:rsidR="00DB77F3" w:rsidRPr="00027042">
        <w:rPr>
          <w:rFonts w:ascii="Franklin Gothic Book" w:hAnsi="Franklin Gothic Book" w:cstheme="minorHAnsi"/>
          <w:iCs/>
          <w:sz w:val="22"/>
          <w:szCs w:val="22"/>
        </w:rPr>
        <w:t xml:space="preserve"> </w:t>
      </w:r>
      <w:r w:rsidR="00DB77F3">
        <w:rPr>
          <w:rFonts w:ascii="Franklin Gothic Book" w:hAnsi="Franklin Gothic Book" w:cstheme="minorHAnsi"/>
          <w:iCs/>
          <w:sz w:val="22"/>
          <w:szCs w:val="22"/>
        </w:rPr>
        <w:t xml:space="preserve">impacts diagnosis and prognosis.  </w:t>
      </w:r>
      <w:r w:rsidRPr="000A1D4E">
        <w:rPr>
          <w:rFonts w:ascii="Franklin Gothic Book" w:hAnsi="Franklin Gothic Book" w:cstheme="minorHAnsi"/>
          <w:iCs/>
          <w:sz w:val="22"/>
          <w:szCs w:val="22"/>
        </w:rPr>
        <w:t>MSAC also noted that, to provide the best patient outcomes, there needed to be a balance between limiting the size of the gene panel to facilitate short turn-around times</w:t>
      </w:r>
      <w:r w:rsidR="001752AA">
        <w:rPr>
          <w:rFonts w:ascii="Franklin Gothic Book" w:hAnsi="Franklin Gothic Book" w:cstheme="minorHAnsi"/>
          <w:iCs/>
          <w:sz w:val="22"/>
          <w:szCs w:val="22"/>
        </w:rPr>
        <w:t>,</w:t>
      </w:r>
      <w:r w:rsidRPr="000A1D4E">
        <w:rPr>
          <w:rFonts w:ascii="Franklin Gothic Book" w:hAnsi="Franklin Gothic Book" w:cstheme="minorHAnsi"/>
          <w:iCs/>
          <w:sz w:val="22"/>
          <w:szCs w:val="22"/>
        </w:rPr>
        <w:t xml:space="preserve"> </w:t>
      </w:r>
      <w:r>
        <w:rPr>
          <w:rFonts w:ascii="Franklin Gothic Book" w:hAnsi="Franklin Gothic Book" w:cstheme="minorHAnsi"/>
          <w:iCs/>
          <w:sz w:val="22"/>
          <w:szCs w:val="22"/>
        </w:rPr>
        <w:t>against</w:t>
      </w:r>
      <w:r w:rsidRPr="000A1D4E">
        <w:rPr>
          <w:rFonts w:ascii="Franklin Gothic Book" w:hAnsi="Franklin Gothic Book" w:cstheme="minorHAnsi"/>
          <w:iCs/>
          <w:sz w:val="22"/>
          <w:szCs w:val="22"/>
        </w:rPr>
        <w:t xml:space="preserve"> performing more comprehensive testing (up to 48 genes) to identify all potential </w:t>
      </w:r>
      <w:r w:rsidR="00DD013A">
        <w:rPr>
          <w:rFonts w:ascii="Franklin Gothic Book" w:hAnsi="Franklin Gothic Book" w:cstheme="minorHAnsi"/>
          <w:iCs/>
          <w:sz w:val="22"/>
          <w:szCs w:val="22"/>
        </w:rPr>
        <w:t>predictive</w:t>
      </w:r>
      <w:r w:rsidR="00DD013A"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targets</w:t>
      </w:r>
      <w:r>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which has longer turn-around times.</w:t>
      </w:r>
    </w:p>
    <w:p w14:paraId="2F1C7479" w14:textId="04E1ACE6" w:rsidR="00594539" w:rsidRDefault="000A1D4E" w:rsidP="00EC1C6C">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MSAC noted that the evidence base relied on the incremental cost-effectiveness ratios (ICERs) included the nine “core” genes proposed by the applicant</w:t>
      </w:r>
      <w:r w:rsidR="00154869">
        <w:rPr>
          <w:rFonts w:ascii="Franklin Gothic Book" w:hAnsi="Franklin Gothic Book" w:cstheme="minorHAnsi"/>
          <w:iCs/>
          <w:sz w:val="22"/>
          <w:szCs w:val="22"/>
        </w:rPr>
        <w:t xml:space="preserve"> in line with the current WHO CNS5</w:t>
      </w:r>
      <w:r w:rsidRPr="000A1D4E">
        <w:rPr>
          <w:rFonts w:ascii="Franklin Gothic Book" w:hAnsi="Franklin Gothic Book" w:cstheme="minorHAnsi"/>
          <w:iCs/>
          <w:sz w:val="22"/>
          <w:szCs w:val="22"/>
        </w:rPr>
        <w:t>, plus others</w:t>
      </w:r>
      <w:r w:rsidR="0043164E">
        <w:rPr>
          <w:rFonts w:ascii="Franklin Gothic Book" w:hAnsi="Franklin Gothic Book" w:cstheme="minorHAnsi"/>
          <w:iCs/>
          <w:sz w:val="22"/>
          <w:szCs w:val="22"/>
        </w:rPr>
        <w:t xml:space="preserve"> reported in</w:t>
      </w:r>
      <w:r w:rsidR="00B514C2">
        <w:rPr>
          <w:rFonts w:ascii="Franklin Gothic Book" w:hAnsi="Franklin Gothic Book" w:cstheme="minorHAnsi"/>
          <w:iCs/>
          <w:sz w:val="22"/>
          <w:szCs w:val="22"/>
        </w:rPr>
        <w:t xml:space="preserve"> guidelines and the</w:t>
      </w:r>
      <w:r w:rsidR="0043164E">
        <w:rPr>
          <w:rFonts w:ascii="Franklin Gothic Book" w:hAnsi="Franklin Gothic Book" w:cstheme="minorHAnsi"/>
          <w:iCs/>
          <w:sz w:val="22"/>
          <w:szCs w:val="22"/>
        </w:rPr>
        <w:t xml:space="preserve"> literature</w:t>
      </w:r>
      <w:r w:rsidRPr="000A1D4E">
        <w:rPr>
          <w:rFonts w:ascii="Franklin Gothic Book" w:hAnsi="Franklin Gothic Book" w:cstheme="minorHAnsi"/>
          <w:iCs/>
          <w:sz w:val="22"/>
          <w:szCs w:val="22"/>
        </w:rPr>
        <w:t xml:space="preserve">. </w:t>
      </w:r>
      <w:r w:rsidR="007344F5">
        <w:rPr>
          <w:rFonts w:ascii="Franklin Gothic Book" w:hAnsi="Franklin Gothic Book" w:cstheme="minorHAnsi"/>
          <w:iCs/>
          <w:sz w:val="22"/>
          <w:szCs w:val="22"/>
        </w:rPr>
        <w:t>MSAC considered t</w:t>
      </w:r>
      <w:r w:rsidRPr="000A1D4E">
        <w:rPr>
          <w:rFonts w:ascii="Franklin Gothic Book" w:hAnsi="Franklin Gothic Book" w:cstheme="minorHAnsi"/>
          <w:iCs/>
          <w:sz w:val="22"/>
          <w:szCs w:val="22"/>
        </w:rPr>
        <w:t>here is</w:t>
      </w:r>
      <w:r w:rsidR="005738DC">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some uncertainty </w:t>
      </w:r>
      <w:r w:rsidR="007344F5">
        <w:rPr>
          <w:rFonts w:ascii="Franklin Gothic Book" w:hAnsi="Franklin Gothic Book" w:cstheme="minorHAnsi"/>
          <w:iCs/>
          <w:sz w:val="22"/>
          <w:szCs w:val="22"/>
        </w:rPr>
        <w:t>around</w:t>
      </w:r>
      <w:r w:rsidR="007344F5"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the</w:t>
      </w:r>
      <w:r w:rsidR="005738DC">
        <w:rPr>
          <w:rFonts w:ascii="Franklin Gothic Book" w:hAnsi="Franklin Gothic Book" w:cstheme="minorHAnsi"/>
          <w:iCs/>
          <w:sz w:val="22"/>
          <w:szCs w:val="22"/>
        </w:rPr>
        <w:t xml:space="preserve"> optimum gene panel composition</w:t>
      </w:r>
      <w:r w:rsidR="00745059">
        <w:rPr>
          <w:rFonts w:ascii="Franklin Gothic Book" w:hAnsi="Franklin Gothic Book" w:cstheme="minorHAnsi"/>
          <w:iCs/>
          <w:sz w:val="22"/>
          <w:szCs w:val="22"/>
        </w:rPr>
        <w:t>,</w:t>
      </w:r>
      <w:r w:rsidR="005738DC">
        <w:rPr>
          <w:rFonts w:ascii="Franklin Gothic Book" w:hAnsi="Franklin Gothic Book" w:cstheme="minorHAnsi"/>
          <w:iCs/>
          <w:sz w:val="22"/>
          <w:szCs w:val="22"/>
        </w:rPr>
        <w:t xml:space="preserve"> given the lack of </w:t>
      </w:r>
      <w:r w:rsidR="00C56A18">
        <w:rPr>
          <w:rFonts w:ascii="Franklin Gothic Book" w:hAnsi="Franklin Gothic Book" w:cstheme="minorHAnsi"/>
          <w:iCs/>
          <w:sz w:val="22"/>
          <w:szCs w:val="22"/>
        </w:rPr>
        <w:t xml:space="preserve">a </w:t>
      </w:r>
      <w:r w:rsidR="001752AA">
        <w:rPr>
          <w:rFonts w:ascii="Franklin Gothic Book" w:hAnsi="Franklin Gothic Book" w:cstheme="minorHAnsi"/>
          <w:iCs/>
          <w:sz w:val="22"/>
          <w:szCs w:val="22"/>
        </w:rPr>
        <w:t>widely adopted gene list</w:t>
      </w:r>
      <w:r w:rsidR="005738DC">
        <w:rPr>
          <w:rFonts w:ascii="Franklin Gothic Book" w:hAnsi="Franklin Gothic Book" w:cstheme="minorHAnsi"/>
          <w:iCs/>
          <w:sz w:val="22"/>
          <w:szCs w:val="22"/>
        </w:rPr>
        <w:t xml:space="preserve">, and </w:t>
      </w:r>
      <w:r w:rsidR="001752AA">
        <w:rPr>
          <w:rFonts w:ascii="Franklin Gothic Book" w:hAnsi="Franklin Gothic Book" w:cstheme="minorHAnsi"/>
          <w:iCs/>
          <w:sz w:val="22"/>
          <w:szCs w:val="22"/>
        </w:rPr>
        <w:t>around</w:t>
      </w:r>
      <w:r w:rsidR="005738DC">
        <w:rPr>
          <w:rFonts w:ascii="Franklin Gothic Book" w:hAnsi="Franklin Gothic Book" w:cstheme="minorHAnsi"/>
          <w:iCs/>
          <w:sz w:val="22"/>
          <w:szCs w:val="22"/>
        </w:rPr>
        <w:t xml:space="preserve"> the</w:t>
      </w:r>
      <w:r w:rsidRPr="000A1D4E">
        <w:rPr>
          <w:rFonts w:ascii="Franklin Gothic Book" w:hAnsi="Franklin Gothic Book" w:cstheme="minorHAnsi"/>
          <w:iCs/>
          <w:sz w:val="22"/>
          <w:szCs w:val="22"/>
        </w:rPr>
        <w:t xml:space="preserve"> applicability of the findings from Cheung </w:t>
      </w:r>
      <w:r w:rsidR="00AF7405">
        <w:rPr>
          <w:rFonts w:ascii="Franklin Gothic Book" w:hAnsi="Franklin Gothic Book" w:cstheme="minorHAnsi"/>
          <w:iCs/>
          <w:sz w:val="22"/>
          <w:szCs w:val="22"/>
        </w:rPr>
        <w:t xml:space="preserve">et al </w:t>
      </w:r>
      <w:r w:rsidRPr="000A1D4E">
        <w:rPr>
          <w:rFonts w:ascii="Franklin Gothic Book" w:hAnsi="Franklin Gothic Book" w:cstheme="minorHAnsi"/>
          <w:iCs/>
          <w:sz w:val="22"/>
          <w:szCs w:val="22"/>
        </w:rPr>
        <w:t>2021</w:t>
      </w:r>
      <w:r w:rsidRPr="003B72B7">
        <w:rPr>
          <w:rFonts w:ascii="Franklin Gothic Book" w:hAnsi="Franklin Gothic Book" w:cstheme="minorHAnsi"/>
          <w:iCs/>
          <w:sz w:val="22"/>
          <w:szCs w:val="22"/>
          <w:vertAlign w:val="superscript"/>
        </w:rPr>
        <w:footnoteReference w:id="2"/>
      </w:r>
      <w:r w:rsidRPr="000A1D4E">
        <w:rPr>
          <w:rFonts w:ascii="Franklin Gothic Book" w:hAnsi="Franklin Gothic Book" w:cstheme="minorHAnsi"/>
          <w:iCs/>
          <w:sz w:val="22"/>
          <w:szCs w:val="22"/>
        </w:rPr>
        <w:t xml:space="preserve"> (which used a 26-gene glioma panel) to the </w:t>
      </w:r>
      <w:r w:rsidRPr="000A1D4E">
        <w:rPr>
          <w:rFonts w:ascii="Franklin Gothic Book" w:hAnsi="Franklin Gothic Book" w:cstheme="minorHAnsi"/>
          <w:iCs/>
          <w:sz w:val="22"/>
          <w:szCs w:val="22"/>
        </w:rPr>
        <w:lastRenderedPageBreak/>
        <w:t xml:space="preserve">proposal for </w:t>
      </w:r>
      <w:r w:rsidR="001752AA">
        <w:rPr>
          <w:rFonts w:ascii="Franklin Gothic Book" w:hAnsi="Franklin Gothic Book" w:cstheme="minorHAnsi"/>
          <w:iCs/>
          <w:sz w:val="22"/>
          <w:szCs w:val="22"/>
        </w:rPr>
        <w:t>a</w:t>
      </w:r>
      <w:r w:rsidRPr="000A1D4E">
        <w:rPr>
          <w:rFonts w:ascii="Franklin Gothic Book" w:hAnsi="Franklin Gothic Book" w:cstheme="minorHAnsi"/>
          <w:iCs/>
          <w:sz w:val="22"/>
          <w:szCs w:val="22"/>
        </w:rPr>
        <w:t xml:space="preserve"> 9–25 gene panel. </w:t>
      </w:r>
      <w:r w:rsidR="007344F5">
        <w:rPr>
          <w:rFonts w:ascii="Franklin Gothic Book" w:hAnsi="Franklin Gothic Book" w:cstheme="minorHAnsi"/>
          <w:iCs/>
          <w:sz w:val="22"/>
          <w:szCs w:val="22"/>
        </w:rPr>
        <w:t xml:space="preserve">MSAC considered that while </w:t>
      </w:r>
      <w:r w:rsidR="00745059">
        <w:rPr>
          <w:rFonts w:ascii="Franklin Gothic Book" w:hAnsi="Franklin Gothic Book" w:cstheme="minorHAnsi"/>
          <w:iCs/>
          <w:sz w:val="22"/>
          <w:szCs w:val="22"/>
        </w:rPr>
        <w:t xml:space="preserve">the inclusion of </w:t>
      </w:r>
      <w:r w:rsidR="007344F5">
        <w:rPr>
          <w:rFonts w:ascii="Franklin Gothic Book" w:hAnsi="Franklin Gothic Book" w:cstheme="minorHAnsi"/>
          <w:iCs/>
          <w:sz w:val="22"/>
          <w:szCs w:val="22"/>
        </w:rPr>
        <w:t xml:space="preserve">other genes such as </w:t>
      </w:r>
      <w:r w:rsidR="007344F5" w:rsidRPr="007344F5">
        <w:rPr>
          <w:rFonts w:ascii="Franklin Gothic Book" w:hAnsi="Franklin Gothic Book" w:cstheme="minorHAnsi"/>
          <w:i/>
          <w:sz w:val="22"/>
          <w:szCs w:val="22"/>
        </w:rPr>
        <w:t>HIST1H3B</w:t>
      </w:r>
      <w:r w:rsidR="007344F5">
        <w:rPr>
          <w:rFonts w:ascii="Franklin Gothic Book" w:hAnsi="Franklin Gothic Book" w:cstheme="minorHAnsi"/>
          <w:iCs/>
          <w:sz w:val="22"/>
          <w:szCs w:val="22"/>
        </w:rPr>
        <w:t xml:space="preserve"> and </w:t>
      </w:r>
      <w:r w:rsidR="007344F5" w:rsidRPr="007344F5">
        <w:rPr>
          <w:rFonts w:ascii="Franklin Gothic Book" w:hAnsi="Franklin Gothic Book" w:cstheme="minorHAnsi"/>
          <w:i/>
          <w:sz w:val="22"/>
          <w:szCs w:val="22"/>
        </w:rPr>
        <w:t>HIST1H3C</w:t>
      </w:r>
      <w:r w:rsidR="007344F5">
        <w:rPr>
          <w:rFonts w:ascii="Franklin Gothic Book" w:hAnsi="Franklin Gothic Book" w:cstheme="minorHAnsi"/>
          <w:iCs/>
          <w:sz w:val="22"/>
          <w:szCs w:val="22"/>
        </w:rPr>
        <w:t xml:space="preserve"> on the panel</w:t>
      </w:r>
      <w:r w:rsidR="00745059">
        <w:rPr>
          <w:rFonts w:ascii="Franklin Gothic Book" w:hAnsi="Franklin Gothic Book" w:cstheme="minorHAnsi"/>
          <w:iCs/>
          <w:sz w:val="22"/>
          <w:szCs w:val="22"/>
        </w:rPr>
        <w:t xml:space="preserve"> may be desirable</w:t>
      </w:r>
      <w:r w:rsidR="007344F5">
        <w:rPr>
          <w:rFonts w:ascii="Franklin Gothic Book" w:hAnsi="Franklin Gothic Book" w:cstheme="minorHAnsi"/>
          <w:iCs/>
          <w:sz w:val="22"/>
          <w:szCs w:val="22"/>
        </w:rPr>
        <w:t xml:space="preserve">, they do not need to be </w:t>
      </w:r>
      <w:r w:rsidR="00745059">
        <w:rPr>
          <w:rFonts w:ascii="Franklin Gothic Book" w:hAnsi="Franklin Gothic Book" w:cstheme="minorHAnsi"/>
          <w:iCs/>
          <w:sz w:val="22"/>
          <w:szCs w:val="22"/>
        </w:rPr>
        <w:t xml:space="preserve">specified </w:t>
      </w:r>
      <w:r w:rsidR="007344F5">
        <w:rPr>
          <w:rFonts w:ascii="Franklin Gothic Book" w:hAnsi="Franklin Gothic Book" w:cstheme="minorHAnsi"/>
          <w:iCs/>
          <w:sz w:val="22"/>
          <w:szCs w:val="22"/>
        </w:rPr>
        <w:t xml:space="preserve">in the minimum gene list. </w:t>
      </w:r>
      <w:r w:rsidR="00B514C2" w:rsidRPr="007344F5">
        <w:rPr>
          <w:rFonts w:ascii="Franklin Gothic Book" w:hAnsi="Franklin Gothic Book" w:cstheme="minorHAnsi"/>
          <w:iCs/>
          <w:sz w:val="22"/>
          <w:szCs w:val="22"/>
        </w:rPr>
        <w:t>MSAC</w:t>
      </w:r>
      <w:r w:rsidR="00B514C2">
        <w:rPr>
          <w:rFonts w:ascii="Franklin Gothic Book" w:hAnsi="Franklin Gothic Book" w:cstheme="minorHAnsi"/>
          <w:iCs/>
          <w:sz w:val="22"/>
          <w:szCs w:val="22"/>
        </w:rPr>
        <w:t xml:space="preserve"> noted the rejoinder’s proposal to add </w:t>
      </w:r>
      <w:r w:rsidR="00B514C2">
        <w:rPr>
          <w:rFonts w:ascii="Franklin Gothic Book" w:hAnsi="Franklin Gothic Book" w:cstheme="minorHAnsi"/>
          <w:i/>
          <w:sz w:val="22"/>
          <w:szCs w:val="22"/>
        </w:rPr>
        <w:t xml:space="preserve">ATRX </w:t>
      </w:r>
      <w:r w:rsidR="00B514C2">
        <w:rPr>
          <w:rFonts w:ascii="Franklin Gothic Book" w:hAnsi="Franklin Gothic Book" w:cstheme="minorHAnsi"/>
          <w:iCs/>
          <w:sz w:val="22"/>
          <w:szCs w:val="22"/>
        </w:rPr>
        <w:t xml:space="preserve">to the minimum gene list specified in the item descriptor, on the basis that it is included in NHS England panels and was also included in the panel used by Cheung </w:t>
      </w:r>
      <w:r w:rsidR="003030C7">
        <w:rPr>
          <w:rFonts w:ascii="Franklin Gothic Book" w:hAnsi="Franklin Gothic Book" w:cstheme="minorHAnsi"/>
          <w:iCs/>
          <w:sz w:val="22"/>
          <w:szCs w:val="22"/>
        </w:rPr>
        <w:t>e</w:t>
      </w:r>
      <w:r w:rsidR="00B514C2">
        <w:rPr>
          <w:rFonts w:ascii="Franklin Gothic Book" w:hAnsi="Franklin Gothic Book" w:cstheme="minorHAnsi"/>
          <w:iCs/>
          <w:sz w:val="22"/>
          <w:szCs w:val="22"/>
        </w:rPr>
        <w:t xml:space="preserve">t al. MSAC </w:t>
      </w:r>
      <w:r w:rsidR="00084959">
        <w:rPr>
          <w:rFonts w:ascii="Franklin Gothic Book" w:hAnsi="Franklin Gothic Book" w:cstheme="minorHAnsi"/>
          <w:iCs/>
          <w:sz w:val="22"/>
          <w:szCs w:val="22"/>
        </w:rPr>
        <w:t xml:space="preserve">also noted the applicant’s post-MSAC request to remove the </w:t>
      </w:r>
      <w:r w:rsidR="00084959">
        <w:rPr>
          <w:rFonts w:ascii="Franklin Gothic Book" w:hAnsi="Franklin Gothic Book" w:cstheme="minorHAnsi"/>
          <w:i/>
          <w:sz w:val="22"/>
          <w:szCs w:val="22"/>
        </w:rPr>
        <w:t xml:space="preserve">ATRX </w:t>
      </w:r>
      <w:r w:rsidR="00084959">
        <w:rPr>
          <w:rFonts w:ascii="Franklin Gothic Book" w:hAnsi="Franklin Gothic Book" w:cstheme="minorHAnsi"/>
          <w:iCs/>
          <w:sz w:val="22"/>
          <w:szCs w:val="22"/>
        </w:rPr>
        <w:t>gene</w:t>
      </w:r>
      <w:r w:rsidR="00853440">
        <w:rPr>
          <w:rFonts w:ascii="Franklin Gothic Book" w:hAnsi="Franklin Gothic Book" w:cstheme="minorHAnsi"/>
          <w:iCs/>
          <w:sz w:val="22"/>
          <w:szCs w:val="22"/>
        </w:rPr>
        <w:t xml:space="preserve"> from the </w:t>
      </w:r>
      <w:r w:rsidR="00DC1820">
        <w:rPr>
          <w:rFonts w:ascii="Franklin Gothic Book" w:hAnsi="Franklin Gothic Book" w:cstheme="minorHAnsi"/>
          <w:iCs/>
          <w:sz w:val="22"/>
          <w:szCs w:val="22"/>
        </w:rPr>
        <w:t xml:space="preserve">mandatory </w:t>
      </w:r>
      <w:r w:rsidR="00853440">
        <w:rPr>
          <w:rFonts w:ascii="Franklin Gothic Book" w:hAnsi="Franklin Gothic Book" w:cstheme="minorHAnsi"/>
          <w:iCs/>
          <w:sz w:val="22"/>
          <w:szCs w:val="22"/>
        </w:rPr>
        <w:t>genes listed in the item descriptor</w:t>
      </w:r>
      <w:r w:rsidR="00084959">
        <w:rPr>
          <w:rFonts w:ascii="Franklin Gothic Book" w:hAnsi="Franklin Gothic Book" w:cstheme="minorHAnsi"/>
          <w:iCs/>
          <w:sz w:val="22"/>
          <w:szCs w:val="22"/>
        </w:rPr>
        <w:t xml:space="preserve">, on the basis that IHC testing is not </w:t>
      </w:r>
      <w:r w:rsidR="006A0DE5">
        <w:rPr>
          <w:rFonts w:ascii="Franklin Gothic Book" w:hAnsi="Franklin Gothic Book" w:cstheme="minorHAnsi"/>
          <w:iCs/>
          <w:sz w:val="22"/>
          <w:szCs w:val="22"/>
        </w:rPr>
        <w:t>inferior</w:t>
      </w:r>
      <w:r w:rsidR="00084959">
        <w:rPr>
          <w:rFonts w:ascii="Franklin Gothic Book" w:hAnsi="Franklin Gothic Book" w:cstheme="minorHAnsi"/>
          <w:iCs/>
          <w:sz w:val="22"/>
          <w:szCs w:val="22"/>
        </w:rPr>
        <w:t xml:space="preserve"> to NGS in detecting </w:t>
      </w:r>
      <w:r w:rsidR="00084959">
        <w:rPr>
          <w:rFonts w:ascii="Franklin Gothic Book" w:hAnsi="Franklin Gothic Book" w:cstheme="minorHAnsi"/>
          <w:i/>
          <w:sz w:val="22"/>
          <w:szCs w:val="22"/>
        </w:rPr>
        <w:t>ATRX</w:t>
      </w:r>
      <w:r w:rsidR="00084959">
        <w:rPr>
          <w:rFonts w:ascii="Franklin Gothic Book" w:hAnsi="Franklin Gothic Book" w:cstheme="minorHAnsi"/>
          <w:iCs/>
          <w:sz w:val="22"/>
          <w:szCs w:val="22"/>
        </w:rPr>
        <w:t xml:space="preserve"> loss-of-function variants</w:t>
      </w:r>
      <w:r w:rsidR="00853440">
        <w:rPr>
          <w:rStyle w:val="FootnoteReference"/>
          <w:rFonts w:ascii="Franklin Gothic Book" w:hAnsi="Franklin Gothic Book" w:cstheme="minorHAnsi"/>
          <w:iCs/>
          <w:sz w:val="22"/>
          <w:szCs w:val="22"/>
        </w:rPr>
        <w:footnoteReference w:id="3"/>
      </w:r>
      <w:r w:rsidR="00084959">
        <w:rPr>
          <w:rFonts w:ascii="Franklin Gothic Book" w:hAnsi="Franklin Gothic Book" w:cstheme="minorHAnsi"/>
          <w:iCs/>
          <w:sz w:val="22"/>
          <w:szCs w:val="22"/>
        </w:rPr>
        <w:t xml:space="preserve">. MSAC </w:t>
      </w:r>
      <w:r w:rsidR="007817B3">
        <w:rPr>
          <w:rFonts w:ascii="Franklin Gothic Book" w:hAnsi="Franklin Gothic Book" w:cstheme="minorHAnsi"/>
          <w:iCs/>
          <w:sz w:val="22"/>
          <w:szCs w:val="22"/>
        </w:rPr>
        <w:t xml:space="preserve">noted that </w:t>
      </w:r>
      <w:r w:rsidR="007817B3">
        <w:rPr>
          <w:rFonts w:ascii="Franklin Gothic Book" w:hAnsi="Franklin Gothic Book" w:cstheme="minorHAnsi"/>
          <w:i/>
          <w:sz w:val="22"/>
          <w:szCs w:val="22"/>
        </w:rPr>
        <w:t>ATRX</w:t>
      </w:r>
      <w:r w:rsidR="007817B3">
        <w:rPr>
          <w:rFonts w:ascii="Franklin Gothic Book" w:hAnsi="Franklin Gothic Book" w:cstheme="minorHAnsi"/>
          <w:iCs/>
          <w:sz w:val="22"/>
          <w:szCs w:val="22"/>
        </w:rPr>
        <w:t xml:space="preserve"> is </w:t>
      </w:r>
      <w:r w:rsidR="002C1438">
        <w:rPr>
          <w:rFonts w:ascii="Franklin Gothic Book" w:hAnsi="Franklin Gothic Book" w:cstheme="minorHAnsi"/>
          <w:iCs/>
          <w:sz w:val="22"/>
          <w:szCs w:val="22"/>
        </w:rPr>
        <w:t xml:space="preserve">a </w:t>
      </w:r>
      <w:r w:rsidR="007817B3">
        <w:rPr>
          <w:rFonts w:ascii="Franklin Gothic Book" w:hAnsi="Franklin Gothic Book" w:cstheme="minorHAnsi"/>
          <w:iCs/>
          <w:sz w:val="22"/>
          <w:szCs w:val="22"/>
        </w:rPr>
        <w:t>desirable but not essential</w:t>
      </w:r>
      <w:r w:rsidR="00DC1820">
        <w:rPr>
          <w:rFonts w:ascii="Franklin Gothic Book" w:hAnsi="Franklin Gothic Book" w:cstheme="minorHAnsi"/>
          <w:iCs/>
          <w:sz w:val="22"/>
          <w:szCs w:val="22"/>
        </w:rPr>
        <w:t xml:space="preserve"> disease-defining gene</w:t>
      </w:r>
      <w:r w:rsidR="007817B3">
        <w:rPr>
          <w:rFonts w:ascii="Franklin Gothic Book" w:hAnsi="Franklin Gothic Book" w:cstheme="minorHAnsi"/>
          <w:iCs/>
          <w:sz w:val="22"/>
          <w:szCs w:val="22"/>
        </w:rPr>
        <w:t>, and recognised that the gene panel will not completely replace IHC testing</w:t>
      </w:r>
      <w:r w:rsidR="006A0DE5">
        <w:rPr>
          <w:rFonts w:ascii="Franklin Gothic Book" w:hAnsi="Franklin Gothic Book" w:cstheme="minorHAnsi"/>
          <w:iCs/>
          <w:sz w:val="22"/>
          <w:szCs w:val="22"/>
        </w:rPr>
        <w:t>,</w:t>
      </w:r>
      <w:r w:rsidR="007817B3">
        <w:rPr>
          <w:rFonts w:ascii="Franklin Gothic Book" w:hAnsi="Franklin Gothic Book" w:cstheme="minorHAnsi"/>
          <w:iCs/>
          <w:sz w:val="22"/>
          <w:szCs w:val="22"/>
        </w:rPr>
        <w:t xml:space="preserve"> as at least a small IHC panel will still be </w:t>
      </w:r>
      <w:r w:rsidR="006A0DE5">
        <w:rPr>
          <w:rFonts w:ascii="Franklin Gothic Book" w:hAnsi="Franklin Gothic Book" w:cstheme="minorHAnsi"/>
          <w:iCs/>
          <w:sz w:val="22"/>
          <w:szCs w:val="22"/>
        </w:rPr>
        <w:t>required</w:t>
      </w:r>
      <w:r w:rsidR="007817B3">
        <w:rPr>
          <w:rFonts w:ascii="Franklin Gothic Book" w:hAnsi="Franklin Gothic Book" w:cstheme="minorHAnsi"/>
          <w:iCs/>
          <w:sz w:val="22"/>
          <w:szCs w:val="22"/>
        </w:rPr>
        <w:t xml:space="preserve"> to establish eligibility for the gene panel. MSAC </w:t>
      </w:r>
      <w:r w:rsidR="006A0DE5">
        <w:rPr>
          <w:rFonts w:ascii="Franklin Gothic Book" w:hAnsi="Franklin Gothic Book" w:cstheme="minorHAnsi"/>
          <w:iCs/>
          <w:sz w:val="22"/>
          <w:szCs w:val="22"/>
        </w:rPr>
        <w:t>noted</w:t>
      </w:r>
      <w:r w:rsidR="00084959">
        <w:rPr>
          <w:rFonts w:ascii="Franklin Gothic Book" w:hAnsi="Franklin Gothic Book" w:cstheme="minorHAnsi"/>
          <w:iCs/>
          <w:sz w:val="22"/>
          <w:szCs w:val="22"/>
        </w:rPr>
        <w:t xml:space="preserve"> that </w:t>
      </w:r>
      <w:r w:rsidR="00853440">
        <w:rPr>
          <w:rFonts w:ascii="Franklin Gothic Book" w:hAnsi="Franklin Gothic Book" w:cstheme="minorHAnsi"/>
          <w:iCs/>
          <w:sz w:val="22"/>
          <w:szCs w:val="22"/>
        </w:rPr>
        <w:t>no</w:t>
      </w:r>
      <w:r w:rsidR="00084959">
        <w:rPr>
          <w:rFonts w:ascii="Franklin Gothic Book" w:hAnsi="Franklin Gothic Book" w:cstheme="minorHAnsi"/>
          <w:iCs/>
          <w:sz w:val="22"/>
          <w:szCs w:val="22"/>
        </w:rPr>
        <w:t xml:space="preserve"> recent evidence </w:t>
      </w:r>
      <w:r w:rsidR="007817B3">
        <w:rPr>
          <w:rFonts w:ascii="Franklin Gothic Book" w:hAnsi="Franklin Gothic Book" w:cstheme="minorHAnsi"/>
          <w:iCs/>
          <w:sz w:val="22"/>
          <w:szCs w:val="22"/>
        </w:rPr>
        <w:t xml:space="preserve">had been provided </w:t>
      </w:r>
      <w:r w:rsidR="00084959">
        <w:rPr>
          <w:rFonts w:ascii="Franklin Gothic Book" w:hAnsi="Franklin Gothic Book" w:cstheme="minorHAnsi"/>
          <w:iCs/>
          <w:sz w:val="22"/>
          <w:szCs w:val="22"/>
        </w:rPr>
        <w:t xml:space="preserve">that </w:t>
      </w:r>
      <w:r w:rsidR="006A0DE5">
        <w:rPr>
          <w:rFonts w:ascii="Franklin Gothic Book" w:hAnsi="Franklin Gothic Book" w:cstheme="minorHAnsi"/>
          <w:iCs/>
          <w:sz w:val="22"/>
          <w:szCs w:val="22"/>
        </w:rPr>
        <w:t>IHC</w:t>
      </w:r>
      <w:r w:rsidR="00084959">
        <w:rPr>
          <w:rFonts w:ascii="Franklin Gothic Book" w:hAnsi="Franklin Gothic Book" w:cstheme="minorHAnsi"/>
          <w:iCs/>
          <w:sz w:val="22"/>
          <w:szCs w:val="22"/>
        </w:rPr>
        <w:t xml:space="preserve"> is superior to </w:t>
      </w:r>
      <w:r w:rsidR="006A0DE5">
        <w:rPr>
          <w:rFonts w:ascii="Franklin Gothic Book" w:hAnsi="Franklin Gothic Book" w:cstheme="minorHAnsi"/>
          <w:iCs/>
          <w:sz w:val="22"/>
          <w:szCs w:val="22"/>
        </w:rPr>
        <w:t>NGS</w:t>
      </w:r>
      <w:r w:rsidR="00084959">
        <w:rPr>
          <w:rFonts w:ascii="Franklin Gothic Book" w:hAnsi="Franklin Gothic Book" w:cstheme="minorHAnsi"/>
          <w:iCs/>
          <w:sz w:val="22"/>
          <w:szCs w:val="22"/>
        </w:rPr>
        <w:t xml:space="preserve">, </w:t>
      </w:r>
      <w:r w:rsidR="006A0DE5">
        <w:rPr>
          <w:rFonts w:ascii="Franklin Gothic Book" w:hAnsi="Franklin Gothic Book" w:cstheme="minorHAnsi"/>
          <w:iCs/>
          <w:sz w:val="22"/>
          <w:szCs w:val="22"/>
        </w:rPr>
        <w:t xml:space="preserve">but </w:t>
      </w:r>
      <w:r w:rsidR="00084959">
        <w:rPr>
          <w:rFonts w:ascii="Franklin Gothic Book" w:hAnsi="Franklin Gothic Book" w:cstheme="minorHAnsi"/>
          <w:iCs/>
          <w:sz w:val="22"/>
          <w:szCs w:val="22"/>
        </w:rPr>
        <w:t xml:space="preserve">accepted </w:t>
      </w:r>
      <w:r w:rsidR="006A0DE5">
        <w:rPr>
          <w:rFonts w:ascii="Franklin Gothic Book" w:hAnsi="Franklin Gothic Book" w:cstheme="minorHAnsi"/>
          <w:iCs/>
          <w:sz w:val="22"/>
          <w:szCs w:val="22"/>
        </w:rPr>
        <w:t xml:space="preserve">that this was the basis for </w:t>
      </w:r>
      <w:r w:rsidR="00084959">
        <w:rPr>
          <w:rFonts w:ascii="Franklin Gothic Book" w:hAnsi="Franklin Gothic Book" w:cstheme="minorHAnsi"/>
          <w:iCs/>
          <w:sz w:val="22"/>
          <w:szCs w:val="22"/>
        </w:rPr>
        <w:t xml:space="preserve">removing </w:t>
      </w:r>
      <w:r w:rsidR="00084959">
        <w:rPr>
          <w:rFonts w:ascii="Franklin Gothic Book" w:hAnsi="Franklin Gothic Book" w:cstheme="minorHAnsi"/>
          <w:i/>
          <w:sz w:val="22"/>
          <w:szCs w:val="22"/>
        </w:rPr>
        <w:t>ATRX</w:t>
      </w:r>
      <w:r w:rsidR="00084959">
        <w:rPr>
          <w:rFonts w:ascii="Franklin Gothic Book" w:hAnsi="Franklin Gothic Book" w:cstheme="minorHAnsi"/>
          <w:iCs/>
          <w:sz w:val="22"/>
          <w:szCs w:val="22"/>
        </w:rPr>
        <w:t xml:space="preserve"> from the </w:t>
      </w:r>
      <w:r w:rsidR="00DC1820">
        <w:rPr>
          <w:rFonts w:ascii="Franklin Gothic Book" w:hAnsi="Franklin Gothic Book" w:cstheme="minorHAnsi"/>
          <w:iCs/>
          <w:sz w:val="22"/>
          <w:szCs w:val="22"/>
        </w:rPr>
        <w:t xml:space="preserve">mandatory </w:t>
      </w:r>
      <w:r w:rsidR="00084959">
        <w:rPr>
          <w:rFonts w:ascii="Franklin Gothic Book" w:hAnsi="Franklin Gothic Book" w:cstheme="minorHAnsi"/>
          <w:iCs/>
          <w:sz w:val="22"/>
          <w:szCs w:val="22"/>
        </w:rPr>
        <w:t xml:space="preserve">gene list, </w:t>
      </w:r>
      <w:r w:rsidR="006A0DE5">
        <w:rPr>
          <w:rFonts w:ascii="Franklin Gothic Book" w:hAnsi="Franklin Gothic Book" w:cstheme="minorHAnsi"/>
          <w:iCs/>
          <w:sz w:val="22"/>
          <w:szCs w:val="22"/>
        </w:rPr>
        <w:t>together with</w:t>
      </w:r>
      <w:r w:rsidR="00853440">
        <w:rPr>
          <w:rFonts w:ascii="Franklin Gothic Book" w:hAnsi="Franklin Gothic Book" w:cstheme="minorHAnsi"/>
          <w:iCs/>
          <w:sz w:val="22"/>
          <w:szCs w:val="22"/>
        </w:rPr>
        <w:t xml:space="preserve"> the </w:t>
      </w:r>
      <w:r w:rsidR="00084959">
        <w:rPr>
          <w:rFonts w:ascii="Franklin Gothic Book" w:hAnsi="Franklin Gothic Book" w:cstheme="minorHAnsi"/>
          <w:iCs/>
          <w:sz w:val="22"/>
          <w:szCs w:val="22"/>
        </w:rPr>
        <w:t xml:space="preserve">size and complexity </w:t>
      </w:r>
      <w:r w:rsidR="00853440">
        <w:rPr>
          <w:rFonts w:ascii="Franklin Gothic Book" w:hAnsi="Franklin Gothic Book" w:cstheme="minorHAnsi"/>
          <w:iCs/>
          <w:sz w:val="22"/>
          <w:szCs w:val="22"/>
        </w:rPr>
        <w:t xml:space="preserve">of </w:t>
      </w:r>
      <w:r w:rsidR="00853440">
        <w:rPr>
          <w:rFonts w:ascii="Franklin Gothic Book" w:hAnsi="Franklin Gothic Book" w:cstheme="minorHAnsi"/>
          <w:i/>
          <w:sz w:val="22"/>
          <w:szCs w:val="22"/>
        </w:rPr>
        <w:t>ATRX</w:t>
      </w:r>
      <w:r w:rsidR="006A0DE5">
        <w:rPr>
          <w:rFonts w:ascii="Franklin Gothic Book" w:hAnsi="Franklin Gothic Book" w:cstheme="minorHAnsi"/>
          <w:iCs/>
          <w:sz w:val="22"/>
          <w:szCs w:val="22"/>
        </w:rPr>
        <w:t>, which</w:t>
      </w:r>
      <w:r w:rsidR="00853440">
        <w:rPr>
          <w:rFonts w:ascii="Franklin Gothic Book" w:hAnsi="Franklin Gothic Book" w:cstheme="minorHAnsi"/>
          <w:i/>
          <w:sz w:val="22"/>
          <w:szCs w:val="22"/>
        </w:rPr>
        <w:t xml:space="preserve"> </w:t>
      </w:r>
      <w:r w:rsidR="00084959">
        <w:rPr>
          <w:rFonts w:ascii="Franklin Gothic Book" w:hAnsi="Franklin Gothic Book" w:cstheme="minorHAnsi"/>
          <w:iCs/>
          <w:sz w:val="22"/>
          <w:szCs w:val="22"/>
        </w:rPr>
        <w:t xml:space="preserve">may increase the cost of testing. MSAC </w:t>
      </w:r>
      <w:r w:rsidR="00683E30">
        <w:rPr>
          <w:rFonts w:ascii="Franklin Gothic Book" w:hAnsi="Franklin Gothic Book" w:cstheme="minorHAnsi"/>
          <w:iCs/>
          <w:sz w:val="22"/>
          <w:szCs w:val="22"/>
        </w:rPr>
        <w:t>advised</w:t>
      </w:r>
      <w:r w:rsidR="00EA0B5E">
        <w:rPr>
          <w:rFonts w:ascii="Franklin Gothic Book" w:hAnsi="Franklin Gothic Book" w:cstheme="minorHAnsi"/>
          <w:iCs/>
          <w:sz w:val="22"/>
          <w:szCs w:val="22"/>
        </w:rPr>
        <w:t xml:space="preserve"> that the</w:t>
      </w:r>
      <w:r w:rsidR="00EA0B5E" w:rsidRPr="000A1D4E">
        <w:rPr>
          <w:rFonts w:ascii="Franklin Gothic Book" w:hAnsi="Franklin Gothic Book" w:cstheme="minorHAnsi"/>
          <w:iCs/>
          <w:sz w:val="22"/>
          <w:szCs w:val="22"/>
        </w:rPr>
        <w:t xml:space="preserve"> minimum</w:t>
      </w:r>
      <w:r w:rsidR="00EA0B5E">
        <w:rPr>
          <w:rFonts w:ascii="Franklin Gothic Book" w:hAnsi="Franklin Gothic Book" w:cstheme="minorHAnsi"/>
          <w:iCs/>
          <w:sz w:val="22"/>
          <w:szCs w:val="22"/>
        </w:rPr>
        <w:t xml:space="preserve"> gene set listed in the item descriptor did not need to be </w:t>
      </w:r>
      <w:r w:rsidR="00683E30">
        <w:rPr>
          <w:rFonts w:ascii="Franklin Gothic Book" w:hAnsi="Franklin Gothic Book" w:cstheme="minorHAnsi"/>
          <w:iCs/>
          <w:sz w:val="22"/>
          <w:szCs w:val="22"/>
        </w:rPr>
        <w:t xml:space="preserve">further </w:t>
      </w:r>
      <w:r w:rsidR="00EA0B5E">
        <w:rPr>
          <w:rFonts w:ascii="Franklin Gothic Book" w:hAnsi="Franklin Gothic Book" w:cstheme="minorHAnsi"/>
          <w:iCs/>
          <w:sz w:val="22"/>
          <w:szCs w:val="22"/>
        </w:rPr>
        <w:t>expanded</w:t>
      </w:r>
      <w:r w:rsidR="00EA0B5E" w:rsidRPr="000A1D4E">
        <w:rPr>
          <w:rFonts w:ascii="Franklin Gothic Book" w:hAnsi="Franklin Gothic Book" w:cstheme="minorHAnsi"/>
          <w:iCs/>
          <w:sz w:val="22"/>
          <w:szCs w:val="22"/>
        </w:rPr>
        <w:t xml:space="preserve">. </w:t>
      </w:r>
      <w:r w:rsidR="006A0DE5">
        <w:rPr>
          <w:rFonts w:ascii="Franklin Gothic Book" w:hAnsi="Franklin Gothic Book" w:cstheme="minorHAnsi"/>
          <w:iCs/>
          <w:sz w:val="22"/>
          <w:szCs w:val="22"/>
        </w:rPr>
        <w:t xml:space="preserve">MSAC </w:t>
      </w:r>
      <w:r w:rsidR="008776E1">
        <w:rPr>
          <w:rFonts w:ascii="Franklin Gothic Book" w:hAnsi="Franklin Gothic Book" w:cstheme="minorHAnsi"/>
          <w:iCs/>
          <w:sz w:val="22"/>
          <w:szCs w:val="22"/>
        </w:rPr>
        <w:t>considered</w:t>
      </w:r>
      <w:r w:rsidR="006A0DE5">
        <w:rPr>
          <w:rFonts w:ascii="Franklin Gothic Book" w:hAnsi="Franklin Gothic Book" w:cstheme="minorHAnsi"/>
          <w:iCs/>
          <w:sz w:val="22"/>
          <w:szCs w:val="22"/>
        </w:rPr>
        <w:t xml:space="preserve"> that </w:t>
      </w:r>
      <w:r w:rsidR="008776E1">
        <w:rPr>
          <w:rFonts w:ascii="Franklin Gothic Book" w:hAnsi="Franklin Gothic Book" w:cstheme="minorHAnsi"/>
          <w:iCs/>
          <w:sz w:val="22"/>
          <w:szCs w:val="22"/>
        </w:rPr>
        <w:t xml:space="preserve">as </w:t>
      </w:r>
      <w:r w:rsidR="006A0DE5">
        <w:rPr>
          <w:rFonts w:ascii="Franklin Gothic Book" w:hAnsi="Franklin Gothic Book" w:cstheme="minorHAnsi"/>
          <w:iCs/>
          <w:sz w:val="22"/>
          <w:szCs w:val="22"/>
        </w:rPr>
        <w:t xml:space="preserve">the WHO gene lists are updated regularly, a review </w:t>
      </w:r>
      <w:r w:rsidR="005713C3">
        <w:rPr>
          <w:rFonts w:ascii="Franklin Gothic Book" w:hAnsi="Franklin Gothic Book" w:cstheme="minorHAnsi"/>
          <w:iCs/>
          <w:sz w:val="22"/>
          <w:szCs w:val="22"/>
        </w:rPr>
        <w:t xml:space="preserve">of this item </w:t>
      </w:r>
      <w:r w:rsidR="006A0DE5">
        <w:rPr>
          <w:rFonts w:ascii="Franklin Gothic Book" w:hAnsi="Franklin Gothic Book" w:cstheme="minorHAnsi"/>
          <w:iCs/>
          <w:sz w:val="22"/>
          <w:szCs w:val="22"/>
        </w:rPr>
        <w:t xml:space="preserve">after 1 year was appropriate. </w:t>
      </w:r>
      <w:r w:rsidR="00154869">
        <w:rPr>
          <w:rFonts w:ascii="Franklin Gothic Book" w:hAnsi="Franklin Gothic Book" w:cstheme="minorHAnsi"/>
          <w:iCs/>
          <w:sz w:val="22"/>
          <w:szCs w:val="22"/>
        </w:rPr>
        <w:t>MSAC considered that referring to “the current WHO criteria” rather than naming CNS5 specifically would remove the need for regular item descriptor updates with WHO revisions</w:t>
      </w:r>
      <w:r w:rsidR="00745059">
        <w:rPr>
          <w:rFonts w:ascii="Franklin Gothic Book" w:hAnsi="Franklin Gothic Book" w:cstheme="minorHAnsi"/>
          <w:iCs/>
          <w:sz w:val="22"/>
          <w:szCs w:val="22"/>
        </w:rPr>
        <w:t xml:space="preserve">, unless there is a large number of additional genes </w:t>
      </w:r>
      <w:r w:rsidR="00154869">
        <w:rPr>
          <w:rFonts w:ascii="Franklin Gothic Book" w:hAnsi="Franklin Gothic Book" w:cstheme="minorHAnsi"/>
          <w:iCs/>
          <w:sz w:val="22"/>
          <w:szCs w:val="22"/>
        </w:rPr>
        <w:t xml:space="preserve">added to the WHO CNS </w:t>
      </w:r>
      <w:r w:rsidR="00745059">
        <w:rPr>
          <w:rFonts w:ascii="Franklin Gothic Book" w:hAnsi="Franklin Gothic Book" w:cstheme="minorHAnsi"/>
          <w:iCs/>
          <w:sz w:val="22"/>
          <w:szCs w:val="22"/>
        </w:rPr>
        <w:t>panel</w:t>
      </w:r>
      <w:r w:rsidR="00154869">
        <w:rPr>
          <w:rFonts w:ascii="Franklin Gothic Book" w:hAnsi="Franklin Gothic Book" w:cstheme="minorHAnsi"/>
          <w:iCs/>
          <w:sz w:val="22"/>
          <w:szCs w:val="22"/>
        </w:rPr>
        <w:t xml:space="preserve"> in future. </w:t>
      </w:r>
      <w:r w:rsidR="00D94988">
        <w:rPr>
          <w:rFonts w:ascii="Franklin Gothic Book" w:hAnsi="Franklin Gothic Book" w:cstheme="minorHAnsi"/>
          <w:iCs/>
          <w:sz w:val="22"/>
          <w:szCs w:val="22"/>
        </w:rPr>
        <w:t>MSAC considered that including any reference to the WHO CNS5 in a practice or explanatory note rather than within the item descriptor itself would better futureproof the item descriptor</w:t>
      </w:r>
      <w:r w:rsidR="009D4824">
        <w:rPr>
          <w:rFonts w:ascii="Franklin Gothic Book" w:hAnsi="Franklin Gothic Book" w:cstheme="minorHAnsi"/>
          <w:iCs/>
          <w:sz w:val="22"/>
          <w:szCs w:val="22"/>
        </w:rPr>
        <w:t>, but that this note needed to not restrict testing to only genes within the CNS5, as other relevant genes may be identified in</w:t>
      </w:r>
      <w:r w:rsidR="00C51603">
        <w:rPr>
          <w:rFonts w:ascii="Franklin Gothic Book" w:hAnsi="Franklin Gothic Book" w:cstheme="minorHAnsi"/>
          <w:iCs/>
          <w:sz w:val="22"/>
          <w:szCs w:val="22"/>
        </w:rPr>
        <w:t xml:space="preserve"> the</w:t>
      </w:r>
      <w:r w:rsidR="009D4824">
        <w:rPr>
          <w:rFonts w:ascii="Franklin Gothic Book" w:hAnsi="Franklin Gothic Book" w:cstheme="minorHAnsi"/>
          <w:iCs/>
          <w:sz w:val="22"/>
          <w:szCs w:val="22"/>
        </w:rPr>
        <w:t xml:space="preserve"> future</w:t>
      </w:r>
      <w:r w:rsidR="00D94988">
        <w:rPr>
          <w:rFonts w:ascii="Franklin Gothic Book" w:hAnsi="Franklin Gothic Book" w:cstheme="minorHAnsi"/>
          <w:iCs/>
          <w:sz w:val="22"/>
          <w:szCs w:val="22"/>
        </w:rPr>
        <w:t xml:space="preserve">. </w:t>
      </w:r>
      <w:r w:rsidR="00841F28" w:rsidRPr="000A1D4E">
        <w:rPr>
          <w:rFonts w:ascii="Franklin Gothic Book" w:hAnsi="Franklin Gothic Book" w:cstheme="minorHAnsi"/>
          <w:iCs/>
          <w:sz w:val="22"/>
          <w:szCs w:val="22"/>
        </w:rPr>
        <w:t xml:space="preserve">MSAC </w:t>
      </w:r>
      <w:r w:rsidR="00841F28">
        <w:rPr>
          <w:rFonts w:ascii="Franklin Gothic Book" w:hAnsi="Franklin Gothic Book" w:cstheme="minorHAnsi"/>
          <w:iCs/>
          <w:sz w:val="22"/>
          <w:szCs w:val="22"/>
        </w:rPr>
        <w:t>noted</w:t>
      </w:r>
      <w:r w:rsidR="00841F28" w:rsidRPr="000A1D4E">
        <w:rPr>
          <w:rFonts w:ascii="Franklin Gothic Book" w:hAnsi="Franklin Gothic Book" w:cstheme="minorHAnsi"/>
          <w:iCs/>
          <w:sz w:val="22"/>
          <w:szCs w:val="22"/>
        </w:rPr>
        <w:t xml:space="preserve"> the WHO </w:t>
      </w:r>
      <w:r w:rsidR="00841F28">
        <w:rPr>
          <w:rFonts w:ascii="Franklin Gothic Book" w:hAnsi="Franklin Gothic Book" w:cstheme="minorHAnsi"/>
          <w:iCs/>
          <w:sz w:val="22"/>
          <w:szCs w:val="22"/>
        </w:rPr>
        <w:t xml:space="preserve">CNS5 </w:t>
      </w:r>
      <w:r w:rsidR="00841F28" w:rsidRPr="000A1D4E">
        <w:rPr>
          <w:rFonts w:ascii="Franklin Gothic Book" w:hAnsi="Franklin Gothic Book" w:cstheme="minorHAnsi"/>
          <w:iCs/>
          <w:sz w:val="22"/>
          <w:szCs w:val="22"/>
        </w:rPr>
        <w:t>recommend</w:t>
      </w:r>
      <w:r w:rsidR="00841F28">
        <w:rPr>
          <w:rFonts w:ascii="Franklin Gothic Book" w:hAnsi="Franklin Gothic Book" w:cstheme="minorHAnsi"/>
          <w:iCs/>
          <w:sz w:val="22"/>
          <w:szCs w:val="22"/>
        </w:rPr>
        <w:t>s</w:t>
      </w:r>
      <w:r w:rsidR="00841F28" w:rsidRPr="000A1D4E">
        <w:rPr>
          <w:rFonts w:ascii="Franklin Gothic Book" w:hAnsi="Franklin Gothic Book" w:cstheme="minorHAnsi"/>
          <w:iCs/>
          <w:sz w:val="22"/>
          <w:szCs w:val="22"/>
        </w:rPr>
        <w:t xml:space="preserve"> </w:t>
      </w:r>
      <w:r w:rsidR="00841F28">
        <w:rPr>
          <w:rFonts w:ascii="Franklin Gothic Book" w:hAnsi="Franklin Gothic Book" w:cstheme="minorHAnsi"/>
          <w:iCs/>
          <w:sz w:val="22"/>
          <w:szCs w:val="22"/>
        </w:rPr>
        <w:t xml:space="preserve">testing a different selection of </w:t>
      </w:r>
      <w:r w:rsidR="00841F28" w:rsidRPr="000A1D4E">
        <w:rPr>
          <w:rFonts w:ascii="Franklin Gothic Book" w:hAnsi="Franklin Gothic Book" w:cstheme="minorHAnsi"/>
          <w:iCs/>
          <w:sz w:val="22"/>
          <w:szCs w:val="22"/>
        </w:rPr>
        <w:t xml:space="preserve">genes </w:t>
      </w:r>
      <w:r w:rsidR="00841F28">
        <w:rPr>
          <w:rFonts w:ascii="Franklin Gothic Book" w:hAnsi="Franklin Gothic Book" w:cstheme="minorHAnsi"/>
          <w:iCs/>
          <w:sz w:val="22"/>
          <w:szCs w:val="22"/>
        </w:rPr>
        <w:t xml:space="preserve">for tumours in children, </w:t>
      </w:r>
      <w:r w:rsidR="00594539">
        <w:rPr>
          <w:rFonts w:ascii="Franklin Gothic Book" w:hAnsi="Franklin Gothic Book" w:cstheme="minorHAnsi"/>
          <w:iCs/>
          <w:sz w:val="22"/>
          <w:szCs w:val="22"/>
        </w:rPr>
        <w:t xml:space="preserve">and considered </w:t>
      </w:r>
      <w:r w:rsidR="00594539" w:rsidRPr="000A1D4E">
        <w:rPr>
          <w:rFonts w:ascii="Franklin Gothic Book" w:hAnsi="Franklin Gothic Book" w:cstheme="minorHAnsi"/>
          <w:iCs/>
          <w:sz w:val="22"/>
          <w:szCs w:val="22"/>
        </w:rPr>
        <w:t xml:space="preserve">that the Zero Childhood Cancer program </w:t>
      </w:r>
      <w:r w:rsidR="00594539">
        <w:rPr>
          <w:rFonts w:ascii="Franklin Gothic Book" w:hAnsi="Franklin Gothic Book" w:cstheme="minorHAnsi"/>
          <w:iCs/>
          <w:sz w:val="22"/>
          <w:szCs w:val="22"/>
        </w:rPr>
        <w:t>already funds</w:t>
      </w:r>
      <w:r w:rsidR="00594539" w:rsidRPr="000A1D4E">
        <w:rPr>
          <w:rFonts w:ascii="Franklin Gothic Book" w:hAnsi="Franklin Gothic Book" w:cstheme="minorHAnsi"/>
          <w:iCs/>
          <w:sz w:val="22"/>
          <w:szCs w:val="22"/>
        </w:rPr>
        <w:t xml:space="preserve"> genetic testing for paediatric gliomas. MSAC </w:t>
      </w:r>
      <w:r w:rsidR="00A64C04">
        <w:rPr>
          <w:rFonts w:ascii="Franklin Gothic Book" w:hAnsi="Franklin Gothic Book" w:cstheme="minorHAnsi"/>
          <w:iCs/>
          <w:sz w:val="22"/>
          <w:szCs w:val="22"/>
        </w:rPr>
        <w:t xml:space="preserve">therefore </w:t>
      </w:r>
      <w:r w:rsidR="00594539">
        <w:rPr>
          <w:rFonts w:ascii="Franklin Gothic Book" w:hAnsi="Franklin Gothic Book" w:cstheme="minorHAnsi"/>
          <w:iCs/>
          <w:sz w:val="22"/>
          <w:szCs w:val="22"/>
        </w:rPr>
        <w:t xml:space="preserve">considered that it was </w:t>
      </w:r>
      <w:r w:rsidR="00540DA6">
        <w:rPr>
          <w:rFonts w:ascii="Franklin Gothic Book" w:hAnsi="Franklin Gothic Book" w:cstheme="minorHAnsi"/>
          <w:iCs/>
          <w:sz w:val="22"/>
          <w:szCs w:val="22"/>
        </w:rPr>
        <w:t xml:space="preserve">likely </w:t>
      </w:r>
      <w:r w:rsidR="00594539">
        <w:rPr>
          <w:rFonts w:ascii="Franklin Gothic Book" w:hAnsi="Franklin Gothic Book" w:cstheme="minorHAnsi"/>
          <w:iCs/>
          <w:sz w:val="22"/>
          <w:szCs w:val="22"/>
        </w:rPr>
        <w:t>appropriate to focus th</w:t>
      </w:r>
      <w:r w:rsidR="00841F28">
        <w:rPr>
          <w:rFonts w:ascii="Franklin Gothic Book" w:hAnsi="Franklin Gothic Book" w:cstheme="minorHAnsi"/>
          <w:iCs/>
          <w:sz w:val="22"/>
          <w:szCs w:val="22"/>
        </w:rPr>
        <w:t>e</w:t>
      </w:r>
      <w:r w:rsidR="00683E30">
        <w:rPr>
          <w:rFonts w:ascii="Franklin Gothic Book" w:hAnsi="Franklin Gothic Book" w:cstheme="minorHAnsi"/>
          <w:iCs/>
          <w:sz w:val="22"/>
          <w:szCs w:val="22"/>
        </w:rPr>
        <w:t xml:space="preserve"> glioma panel</w:t>
      </w:r>
      <w:r w:rsidR="00594539">
        <w:rPr>
          <w:rFonts w:ascii="Franklin Gothic Book" w:hAnsi="Franklin Gothic Book" w:cstheme="minorHAnsi"/>
          <w:iCs/>
          <w:sz w:val="22"/>
          <w:szCs w:val="22"/>
        </w:rPr>
        <w:t xml:space="preserve"> testing</w:t>
      </w:r>
      <w:r w:rsidR="00841F28">
        <w:rPr>
          <w:rFonts w:ascii="Franklin Gothic Book" w:hAnsi="Franklin Gothic Book" w:cstheme="minorHAnsi"/>
          <w:iCs/>
          <w:sz w:val="22"/>
          <w:szCs w:val="22"/>
        </w:rPr>
        <w:t xml:space="preserve"> under this application</w:t>
      </w:r>
      <w:r w:rsidR="00594539">
        <w:rPr>
          <w:rFonts w:ascii="Franklin Gothic Book" w:hAnsi="Franklin Gothic Book" w:cstheme="minorHAnsi"/>
          <w:iCs/>
          <w:sz w:val="22"/>
          <w:szCs w:val="22"/>
        </w:rPr>
        <w:t xml:space="preserve"> on the adult population whose needs are not yet addressed</w:t>
      </w:r>
      <w:r w:rsidR="00683E30">
        <w:rPr>
          <w:rFonts w:ascii="Franklin Gothic Book" w:hAnsi="Franklin Gothic Book" w:cstheme="minorHAnsi"/>
          <w:iCs/>
          <w:sz w:val="22"/>
          <w:szCs w:val="22"/>
        </w:rPr>
        <w:t xml:space="preserve">. MSAC </w:t>
      </w:r>
      <w:r w:rsidR="00A64C04">
        <w:rPr>
          <w:rFonts w:ascii="Franklin Gothic Book" w:hAnsi="Franklin Gothic Book" w:cstheme="minorHAnsi"/>
          <w:iCs/>
          <w:sz w:val="22"/>
          <w:szCs w:val="22"/>
        </w:rPr>
        <w:t xml:space="preserve">considered that </w:t>
      </w:r>
      <w:r w:rsidR="00A64C04" w:rsidRPr="000A1D4E">
        <w:rPr>
          <w:rFonts w:ascii="Franklin Gothic Book" w:hAnsi="Franklin Gothic Book" w:cstheme="minorHAnsi"/>
          <w:iCs/>
          <w:sz w:val="22"/>
          <w:szCs w:val="22"/>
        </w:rPr>
        <w:t>specif</w:t>
      </w:r>
      <w:r w:rsidR="00A64C04">
        <w:rPr>
          <w:rFonts w:ascii="Franklin Gothic Book" w:hAnsi="Franklin Gothic Book" w:cstheme="minorHAnsi"/>
          <w:iCs/>
          <w:sz w:val="22"/>
          <w:szCs w:val="22"/>
        </w:rPr>
        <w:t>ying</w:t>
      </w:r>
      <w:r w:rsidR="00A64C04" w:rsidRPr="000A1D4E">
        <w:rPr>
          <w:rFonts w:ascii="Franklin Gothic Book" w:hAnsi="Franklin Gothic Book" w:cstheme="minorHAnsi"/>
          <w:iCs/>
          <w:sz w:val="22"/>
          <w:szCs w:val="22"/>
        </w:rPr>
        <w:t xml:space="preserve"> </w:t>
      </w:r>
      <w:r w:rsidR="00A64C04">
        <w:rPr>
          <w:rFonts w:ascii="Franklin Gothic Book" w:hAnsi="Franklin Gothic Book" w:cstheme="minorHAnsi"/>
          <w:iCs/>
          <w:sz w:val="22"/>
          <w:szCs w:val="22"/>
        </w:rPr>
        <w:t>genes</w:t>
      </w:r>
      <w:r w:rsidR="00A64C04" w:rsidRPr="000A1D4E">
        <w:rPr>
          <w:rFonts w:ascii="Franklin Gothic Book" w:hAnsi="Franklin Gothic Book" w:cstheme="minorHAnsi"/>
          <w:iCs/>
          <w:sz w:val="22"/>
          <w:szCs w:val="22"/>
        </w:rPr>
        <w:t xml:space="preserve"> </w:t>
      </w:r>
      <w:r w:rsidR="00A64C04">
        <w:rPr>
          <w:rFonts w:ascii="Franklin Gothic Book" w:hAnsi="Franklin Gothic Book" w:cstheme="minorHAnsi"/>
          <w:iCs/>
          <w:sz w:val="22"/>
          <w:szCs w:val="22"/>
        </w:rPr>
        <w:t>that are more relevant to</w:t>
      </w:r>
      <w:r w:rsidR="00A64C04" w:rsidRPr="000A1D4E">
        <w:rPr>
          <w:rFonts w:ascii="Franklin Gothic Book" w:hAnsi="Franklin Gothic Book" w:cstheme="minorHAnsi"/>
          <w:iCs/>
          <w:sz w:val="22"/>
          <w:szCs w:val="22"/>
        </w:rPr>
        <w:t xml:space="preserve"> adult</w:t>
      </w:r>
      <w:r w:rsidR="00A64C04">
        <w:rPr>
          <w:rFonts w:ascii="Franklin Gothic Book" w:hAnsi="Franklin Gothic Book" w:cstheme="minorHAnsi"/>
          <w:iCs/>
          <w:sz w:val="22"/>
          <w:szCs w:val="22"/>
        </w:rPr>
        <w:t xml:space="preserve"> glioma</w:t>
      </w:r>
      <w:r w:rsidR="00A64C04" w:rsidRPr="000A1D4E">
        <w:rPr>
          <w:rFonts w:ascii="Franklin Gothic Book" w:hAnsi="Franklin Gothic Book" w:cstheme="minorHAnsi"/>
          <w:iCs/>
          <w:sz w:val="22"/>
          <w:szCs w:val="22"/>
        </w:rPr>
        <w:t xml:space="preserve"> </w:t>
      </w:r>
      <w:r w:rsidR="00A64C04">
        <w:rPr>
          <w:rFonts w:ascii="Franklin Gothic Book" w:hAnsi="Franklin Gothic Book" w:cstheme="minorHAnsi"/>
          <w:iCs/>
          <w:sz w:val="22"/>
          <w:szCs w:val="22"/>
        </w:rPr>
        <w:t xml:space="preserve">in </w:t>
      </w:r>
      <w:r w:rsidR="00594539" w:rsidRPr="000A1D4E">
        <w:rPr>
          <w:rFonts w:ascii="Franklin Gothic Book" w:hAnsi="Franklin Gothic Book" w:cstheme="minorHAnsi"/>
          <w:iCs/>
          <w:sz w:val="22"/>
          <w:szCs w:val="22"/>
        </w:rPr>
        <w:t xml:space="preserve">the MBS </w:t>
      </w:r>
      <w:r w:rsidR="00594539">
        <w:rPr>
          <w:rFonts w:ascii="Franklin Gothic Book" w:hAnsi="Franklin Gothic Book" w:cstheme="minorHAnsi"/>
          <w:iCs/>
          <w:sz w:val="22"/>
          <w:szCs w:val="22"/>
        </w:rPr>
        <w:t>item</w:t>
      </w:r>
      <w:r w:rsidR="00594539" w:rsidRPr="000A1D4E">
        <w:rPr>
          <w:rFonts w:ascii="Franklin Gothic Book" w:hAnsi="Franklin Gothic Book" w:cstheme="minorHAnsi"/>
          <w:iCs/>
          <w:sz w:val="22"/>
          <w:szCs w:val="22"/>
        </w:rPr>
        <w:t xml:space="preserve"> </w:t>
      </w:r>
      <w:r w:rsidR="00683E30">
        <w:rPr>
          <w:rFonts w:ascii="Franklin Gothic Book" w:hAnsi="Franklin Gothic Book" w:cstheme="minorHAnsi"/>
          <w:iCs/>
          <w:sz w:val="22"/>
          <w:szCs w:val="22"/>
        </w:rPr>
        <w:t>sh</w:t>
      </w:r>
      <w:r w:rsidR="00841F28">
        <w:rPr>
          <w:rFonts w:ascii="Franklin Gothic Book" w:hAnsi="Franklin Gothic Book" w:cstheme="minorHAnsi"/>
          <w:iCs/>
          <w:sz w:val="22"/>
          <w:szCs w:val="22"/>
        </w:rPr>
        <w:t>ould not create in</w:t>
      </w:r>
      <w:r w:rsidR="00841F28" w:rsidRPr="000A1D4E">
        <w:rPr>
          <w:rFonts w:ascii="Franklin Gothic Book" w:hAnsi="Franklin Gothic Book" w:cstheme="minorHAnsi"/>
          <w:iCs/>
          <w:sz w:val="22"/>
          <w:szCs w:val="22"/>
        </w:rPr>
        <w:t>equit</w:t>
      </w:r>
      <w:r w:rsidR="00683E30">
        <w:rPr>
          <w:rFonts w:ascii="Franklin Gothic Book" w:hAnsi="Franklin Gothic Book" w:cstheme="minorHAnsi"/>
          <w:iCs/>
          <w:sz w:val="22"/>
          <w:szCs w:val="22"/>
        </w:rPr>
        <w:t>able</w:t>
      </w:r>
      <w:r w:rsidR="00841F28" w:rsidRPr="000A1D4E">
        <w:rPr>
          <w:rFonts w:ascii="Franklin Gothic Book" w:hAnsi="Franklin Gothic Book" w:cstheme="minorHAnsi"/>
          <w:iCs/>
          <w:sz w:val="22"/>
          <w:szCs w:val="22"/>
        </w:rPr>
        <w:t xml:space="preserve"> access for </w:t>
      </w:r>
      <w:r w:rsidR="00683E30">
        <w:rPr>
          <w:rFonts w:ascii="Franklin Gothic Book" w:hAnsi="Franklin Gothic Book" w:cstheme="minorHAnsi"/>
          <w:iCs/>
          <w:sz w:val="22"/>
          <w:szCs w:val="22"/>
        </w:rPr>
        <w:t>paediatric glioma patients</w:t>
      </w:r>
      <w:r w:rsidR="00540DA6">
        <w:rPr>
          <w:rFonts w:ascii="Franklin Gothic Book" w:hAnsi="Franklin Gothic Book" w:cstheme="minorHAnsi"/>
          <w:iCs/>
          <w:sz w:val="22"/>
          <w:szCs w:val="22"/>
        </w:rPr>
        <w:t xml:space="preserve">, though requested the Department </w:t>
      </w:r>
      <w:r w:rsidR="00DB16B3">
        <w:rPr>
          <w:rFonts w:ascii="Franklin Gothic Book" w:hAnsi="Franklin Gothic Book" w:cstheme="minorHAnsi"/>
          <w:iCs/>
          <w:sz w:val="22"/>
          <w:szCs w:val="22"/>
        </w:rPr>
        <w:t xml:space="preserve">contact the Zero Childhood Cancer program to </w:t>
      </w:r>
      <w:r w:rsidR="00683E30">
        <w:rPr>
          <w:rFonts w:ascii="Franklin Gothic Book" w:hAnsi="Franklin Gothic Book" w:cstheme="minorHAnsi"/>
          <w:iCs/>
          <w:sz w:val="22"/>
          <w:szCs w:val="22"/>
        </w:rPr>
        <w:t>confirm this</w:t>
      </w:r>
      <w:r w:rsidR="00594539" w:rsidRPr="000A1D4E">
        <w:rPr>
          <w:rFonts w:ascii="Franklin Gothic Book" w:hAnsi="Franklin Gothic Book" w:cstheme="minorHAnsi"/>
          <w:iCs/>
          <w:sz w:val="22"/>
          <w:szCs w:val="22"/>
        </w:rPr>
        <w:t>.</w:t>
      </w:r>
    </w:p>
    <w:p w14:paraId="641BE704" w14:textId="737FFC0E" w:rsidR="000A1D4E" w:rsidRPr="000A1D4E" w:rsidRDefault="000A1D4E" w:rsidP="00855EE2">
      <w:pPr>
        <w:spacing w:before="240"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considered it appropriate that the MBS item descriptor specify </w:t>
      </w:r>
      <w:r w:rsidR="00B514C2">
        <w:rPr>
          <w:rFonts w:ascii="Franklin Gothic Book" w:hAnsi="Franklin Gothic Book" w:cstheme="minorHAnsi"/>
          <w:iCs/>
          <w:sz w:val="22"/>
          <w:szCs w:val="22"/>
        </w:rPr>
        <w:t>the</w:t>
      </w:r>
      <w:r w:rsidRPr="000A1D4E">
        <w:rPr>
          <w:rFonts w:ascii="Franklin Gothic Book" w:hAnsi="Franklin Gothic Book" w:cstheme="minorHAnsi"/>
          <w:iCs/>
          <w:sz w:val="22"/>
          <w:szCs w:val="22"/>
        </w:rPr>
        <w:t xml:space="preserve"> minimum </w:t>
      </w:r>
      <w:r w:rsidR="00B514C2">
        <w:rPr>
          <w:rFonts w:ascii="Franklin Gothic Book" w:hAnsi="Franklin Gothic Book" w:cstheme="minorHAnsi"/>
          <w:iCs/>
          <w:sz w:val="22"/>
          <w:szCs w:val="22"/>
        </w:rPr>
        <w:t>set</w:t>
      </w:r>
      <w:r w:rsidR="00B514C2"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of genes</w:t>
      </w:r>
      <w:r w:rsidR="00B514C2">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to be </w:t>
      </w:r>
      <w:r w:rsidR="00B514C2">
        <w:rPr>
          <w:rFonts w:ascii="Franklin Gothic Book" w:hAnsi="Franklin Gothic Book" w:cstheme="minorHAnsi"/>
          <w:iCs/>
          <w:sz w:val="22"/>
          <w:szCs w:val="22"/>
        </w:rPr>
        <w:t>included on the gene panel</w:t>
      </w:r>
      <w:r w:rsidRPr="000A1D4E">
        <w:rPr>
          <w:rFonts w:ascii="Franklin Gothic Book" w:hAnsi="Franklin Gothic Book" w:cstheme="minorHAnsi"/>
          <w:iCs/>
          <w:sz w:val="22"/>
          <w:szCs w:val="22"/>
        </w:rPr>
        <w:t xml:space="preserve">, and that the maximum number of genes </w:t>
      </w:r>
      <w:r w:rsidR="00B514C2">
        <w:rPr>
          <w:rFonts w:ascii="Franklin Gothic Book" w:hAnsi="Franklin Gothic Book" w:cstheme="minorHAnsi"/>
          <w:iCs/>
          <w:sz w:val="22"/>
          <w:szCs w:val="22"/>
        </w:rPr>
        <w:t xml:space="preserve">examined </w:t>
      </w:r>
      <w:r w:rsidRPr="000A1D4E">
        <w:rPr>
          <w:rFonts w:ascii="Franklin Gothic Book" w:hAnsi="Franklin Gothic Book" w:cstheme="minorHAnsi"/>
          <w:iCs/>
          <w:sz w:val="22"/>
          <w:szCs w:val="22"/>
        </w:rPr>
        <w:t xml:space="preserve">would </w:t>
      </w:r>
      <w:r w:rsidR="00D154EC">
        <w:rPr>
          <w:rFonts w:ascii="Franklin Gothic Book" w:hAnsi="Franklin Gothic Book" w:cstheme="minorHAnsi"/>
          <w:iCs/>
          <w:sz w:val="22"/>
          <w:szCs w:val="22"/>
        </w:rPr>
        <w:t xml:space="preserve">not be specified but would </w:t>
      </w:r>
      <w:r w:rsidRPr="000A1D4E">
        <w:rPr>
          <w:rFonts w:ascii="Franklin Gothic Book" w:hAnsi="Franklin Gothic Book" w:cstheme="minorHAnsi"/>
          <w:iCs/>
          <w:sz w:val="22"/>
          <w:szCs w:val="22"/>
        </w:rPr>
        <w:t xml:space="preserve">be </w:t>
      </w:r>
      <w:r w:rsidR="00E34501">
        <w:rPr>
          <w:rFonts w:ascii="Franklin Gothic Book" w:hAnsi="Franklin Gothic Book" w:cstheme="minorHAnsi"/>
          <w:iCs/>
          <w:sz w:val="22"/>
          <w:szCs w:val="22"/>
        </w:rPr>
        <w:t xml:space="preserve">essentially </w:t>
      </w:r>
      <w:r w:rsidRPr="000A1D4E">
        <w:rPr>
          <w:rFonts w:ascii="Franklin Gothic Book" w:hAnsi="Franklin Gothic Book" w:cstheme="minorHAnsi"/>
          <w:iCs/>
          <w:sz w:val="22"/>
          <w:szCs w:val="22"/>
        </w:rPr>
        <w:t xml:space="preserve">constrained by the fee. </w:t>
      </w:r>
      <w:r w:rsidR="00841F28">
        <w:rPr>
          <w:rFonts w:ascii="Franklin Gothic Book" w:hAnsi="Franklin Gothic Book" w:cstheme="minorHAnsi"/>
          <w:iCs/>
          <w:sz w:val="22"/>
          <w:szCs w:val="22"/>
        </w:rPr>
        <w:t xml:space="preserve">MSAC noted the pre-MSAC response’s proposal to restrict </w:t>
      </w:r>
      <w:r w:rsidR="00841F28" w:rsidRPr="003B72B7">
        <w:rPr>
          <w:rFonts w:ascii="Franklin Gothic Book" w:hAnsi="Franklin Gothic Book" w:cstheme="minorHAnsi"/>
          <w:i/>
          <w:sz w:val="22"/>
          <w:szCs w:val="22"/>
        </w:rPr>
        <w:t>IDH1/2</w:t>
      </w:r>
      <w:r w:rsidR="00841F28">
        <w:rPr>
          <w:rFonts w:ascii="Franklin Gothic Book" w:hAnsi="Franklin Gothic Book" w:cstheme="minorHAnsi"/>
          <w:iCs/>
          <w:sz w:val="22"/>
          <w:szCs w:val="22"/>
        </w:rPr>
        <w:t xml:space="preserve"> testing to two </w:t>
      </w:r>
      <w:r w:rsidR="00EA2BF6">
        <w:rPr>
          <w:rFonts w:ascii="Franklin Gothic Book" w:hAnsi="Franklin Gothic Book" w:cstheme="minorHAnsi"/>
          <w:iCs/>
          <w:sz w:val="22"/>
          <w:szCs w:val="22"/>
        </w:rPr>
        <w:t xml:space="preserve">specific </w:t>
      </w:r>
      <w:r w:rsidR="00841F28">
        <w:rPr>
          <w:rFonts w:ascii="Franklin Gothic Book" w:hAnsi="Franklin Gothic Book" w:cstheme="minorHAnsi"/>
          <w:iCs/>
          <w:sz w:val="22"/>
          <w:szCs w:val="22"/>
        </w:rPr>
        <w:t xml:space="preserve">variants, but </w:t>
      </w:r>
      <w:r w:rsidR="00EA2BF6">
        <w:rPr>
          <w:rFonts w:ascii="Franklin Gothic Book" w:hAnsi="Franklin Gothic Book" w:cstheme="minorHAnsi"/>
          <w:iCs/>
          <w:sz w:val="22"/>
          <w:szCs w:val="22"/>
        </w:rPr>
        <w:t>considered</w:t>
      </w:r>
      <w:r w:rsidR="00841F28">
        <w:rPr>
          <w:rFonts w:ascii="Franklin Gothic Book" w:hAnsi="Franklin Gothic Book" w:cstheme="minorHAnsi"/>
          <w:iCs/>
          <w:sz w:val="22"/>
          <w:szCs w:val="22"/>
        </w:rPr>
        <w:t xml:space="preserve"> that current MBS item 73372 uses sequencing to interrogate all </w:t>
      </w:r>
      <w:r w:rsidR="00841F28" w:rsidRPr="00FB51C1">
        <w:rPr>
          <w:rFonts w:ascii="Franklin Gothic Book" w:hAnsi="Franklin Gothic Book" w:cstheme="minorHAnsi"/>
          <w:i/>
          <w:sz w:val="22"/>
          <w:szCs w:val="22"/>
        </w:rPr>
        <w:t>IDH1/2</w:t>
      </w:r>
      <w:r w:rsidR="00841F28">
        <w:rPr>
          <w:rFonts w:ascii="Franklin Gothic Book" w:hAnsi="Franklin Gothic Book" w:cstheme="minorHAnsi"/>
          <w:iCs/>
          <w:sz w:val="22"/>
          <w:szCs w:val="22"/>
        </w:rPr>
        <w:t xml:space="preserve"> variants, and that Cheung et al found 20% of cases had other </w:t>
      </w:r>
      <w:r w:rsidR="00841F28" w:rsidRPr="00FB51C1">
        <w:rPr>
          <w:rFonts w:ascii="Franklin Gothic Book" w:hAnsi="Franklin Gothic Book" w:cstheme="minorHAnsi"/>
          <w:i/>
          <w:sz w:val="22"/>
          <w:szCs w:val="22"/>
        </w:rPr>
        <w:t>IDH1</w:t>
      </w:r>
      <w:r w:rsidR="00841F28">
        <w:rPr>
          <w:rFonts w:ascii="Franklin Gothic Book" w:hAnsi="Franklin Gothic Book" w:cstheme="minorHAnsi"/>
          <w:iCs/>
          <w:sz w:val="22"/>
          <w:szCs w:val="22"/>
        </w:rPr>
        <w:t xml:space="preserve"> variants. MSAC therefore advised </w:t>
      </w:r>
      <w:r w:rsidR="00841F28" w:rsidRPr="00FB51C1">
        <w:rPr>
          <w:rFonts w:ascii="Franklin Gothic Book" w:hAnsi="Franklin Gothic Book" w:cstheme="minorHAnsi"/>
          <w:i/>
          <w:sz w:val="22"/>
          <w:szCs w:val="22"/>
        </w:rPr>
        <w:t>IDH1/2</w:t>
      </w:r>
      <w:r w:rsidR="00841F28">
        <w:rPr>
          <w:rFonts w:ascii="Franklin Gothic Book" w:hAnsi="Franklin Gothic Book" w:cstheme="minorHAnsi"/>
          <w:iCs/>
          <w:sz w:val="22"/>
          <w:szCs w:val="22"/>
        </w:rPr>
        <w:t xml:space="preserve"> testing should not be restricted to two variants. </w:t>
      </w:r>
      <w:r w:rsidRPr="000A1D4E">
        <w:rPr>
          <w:rFonts w:ascii="Franklin Gothic Book" w:hAnsi="Franklin Gothic Book" w:cstheme="minorHAnsi"/>
          <w:iCs/>
          <w:sz w:val="22"/>
          <w:szCs w:val="22"/>
        </w:rPr>
        <w:t xml:space="preserve">MSAC </w:t>
      </w:r>
      <w:r w:rsidR="00284A44">
        <w:rPr>
          <w:rFonts w:ascii="Franklin Gothic Book" w:hAnsi="Franklin Gothic Book" w:cstheme="minorHAnsi"/>
          <w:iCs/>
          <w:sz w:val="22"/>
          <w:szCs w:val="22"/>
        </w:rPr>
        <w:t xml:space="preserve">considered it desirable </w:t>
      </w:r>
      <w:r w:rsidRPr="000A1D4E">
        <w:rPr>
          <w:rFonts w:ascii="Franklin Gothic Book" w:hAnsi="Franklin Gothic Book" w:cstheme="minorHAnsi"/>
          <w:iCs/>
          <w:sz w:val="22"/>
          <w:szCs w:val="22"/>
        </w:rPr>
        <w:t xml:space="preserve">that the laboratory test the whole </w:t>
      </w:r>
      <w:r w:rsidR="00284A44">
        <w:rPr>
          <w:rFonts w:ascii="Franklin Gothic Book" w:hAnsi="Franklin Gothic Book" w:cstheme="minorHAnsi"/>
          <w:iCs/>
          <w:sz w:val="22"/>
          <w:szCs w:val="22"/>
        </w:rPr>
        <w:t xml:space="preserve">of </w:t>
      </w:r>
      <w:r w:rsidR="00841F28">
        <w:rPr>
          <w:rFonts w:ascii="Franklin Gothic Book" w:hAnsi="Franklin Gothic Book" w:cstheme="minorHAnsi"/>
          <w:iCs/>
          <w:sz w:val="22"/>
          <w:szCs w:val="22"/>
        </w:rPr>
        <w:t>each</w:t>
      </w:r>
      <w:r w:rsidR="00284A44">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gene, </w:t>
      </w:r>
      <w:r w:rsidR="00DD0335">
        <w:rPr>
          <w:rFonts w:ascii="Franklin Gothic Book" w:hAnsi="Franklin Gothic Book" w:cstheme="minorHAnsi"/>
          <w:iCs/>
          <w:sz w:val="22"/>
          <w:szCs w:val="22"/>
        </w:rPr>
        <w:t xml:space="preserve">rather than only specific </w:t>
      </w:r>
      <w:r w:rsidRPr="000A1D4E">
        <w:rPr>
          <w:rFonts w:ascii="Franklin Gothic Book" w:hAnsi="Franklin Gothic Book" w:cstheme="minorHAnsi"/>
          <w:iCs/>
          <w:sz w:val="22"/>
          <w:szCs w:val="22"/>
        </w:rPr>
        <w:t>variant</w:t>
      </w:r>
      <w:r w:rsidR="00DD0335">
        <w:rPr>
          <w:rFonts w:ascii="Franklin Gothic Book" w:hAnsi="Franklin Gothic Book" w:cstheme="minorHAnsi"/>
          <w:iCs/>
          <w:sz w:val="22"/>
          <w:szCs w:val="22"/>
        </w:rPr>
        <w:t>s</w:t>
      </w:r>
      <w:r w:rsidRPr="000A1D4E">
        <w:rPr>
          <w:rFonts w:ascii="Franklin Gothic Book" w:hAnsi="Franklin Gothic Book" w:cstheme="minorHAnsi"/>
          <w:iCs/>
          <w:sz w:val="22"/>
          <w:szCs w:val="22"/>
        </w:rPr>
        <w:t xml:space="preserve"> in each gene</w:t>
      </w:r>
      <w:r w:rsidR="00DD0335">
        <w:rPr>
          <w:rFonts w:ascii="Franklin Gothic Book" w:hAnsi="Franklin Gothic Book" w:cstheme="minorHAnsi"/>
          <w:iCs/>
          <w:sz w:val="22"/>
          <w:szCs w:val="22"/>
        </w:rPr>
        <w:t>,</w:t>
      </w:r>
      <w:r w:rsidR="00012898">
        <w:rPr>
          <w:rFonts w:ascii="Franklin Gothic Book" w:hAnsi="Franklin Gothic Book" w:cstheme="minorHAnsi"/>
          <w:iCs/>
          <w:sz w:val="22"/>
          <w:szCs w:val="22"/>
        </w:rPr>
        <w:t xml:space="preserve"> in order to provide a comprehensive diagnosis</w:t>
      </w:r>
      <w:r w:rsidRPr="000A1D4E">
        <w:rPr>
          <w:rFonts w:ascii="Franklin Gothic Book" w:hAnsi="Franklin Gothic Book" w:cstheme="minorHAnsi"/>
          <w:iCs/>
          <w:sz w:val="22"/>
          <w:szCs w:val="22"/>
        </w:rPr>
        <w:t>.</w:t>
      </w:r>
      <w:r w:rsidR="00EA0B5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MSAC considered that </w:t>
      </w:r>
      <w:r w:rsidR="00EA0B5E">
        <w:rPr>
          <w:rFonts w:ascii="Franklin Gothic Book" w:hAnsi="Franklin Gothic Book" w:cstheme="minorHAnsi"/>
          <w:iCs/>
          <w:sz w:val="22"/>
          <w:szCs w:val="22"/>
        </w:rPr>
        <w:t>requiring testing to include the whole of each gene</w:t>
      </w:r>
      <w:r w:rsidR="00012898">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would </w:t>
      </w:r>
      <w:r w:rsidR="00DD0335">
        <w:rPr>
          <w:rFonts w:ascii="Franklin Gothic Book" w:hAnsi="Franklin Gothic Book" w:cstheme="minorHAnsi"/>
          <w:iCs/>
          <w:sz w:val="22"/>
          <w:szCs w:val="22"/>
        </w:rPr>
        <w:t xml:space="preserve">be most appropriately addressed through the item descriptor rather than a practice note, and considered that requiring the test to interrogate a range of types of variant would effectively require each gene to be </w:t>
      </w:r>
      <w:r w:rsidR="00841F28">
        <w:rPr>
          <w:rFonts w:ascii="Franklin Gothic Book" w:hAnsi="Franklin Gothic Book" w:cstheme="minorHAnsi"/>
          <w:iCs/>
          <w:sz w:val="22"/>
          <w:szCs w:val="22"/>
        </w:rPr>
        <w:t>sequenced</w:t>
      </w:r>
      <w:r w:rsidR="00EA0B5E">
        <w:rPr>
          <w:rFonts w:ascii="Franklin Gothic Book" w:hAnsi="Franklin Gothic Book" w:cstheme="minorHAnsi"/>
          <w:iCs/>
          <w:sz w:val="22"/>
          <w:szCs w:val="22"/>
        </w:rPr>
        <w:t>.</w:t>
      </w:r>
      <w:r w:rsidR="00DD0335">
        <w:rPr>
          <w:rFonts w:ascii="Franklin Gothic Book" w:hAnsi="Franklin Gothic Book" w:cstheme="minorHAnsi"/>
          <w:iCs/>
          <w:sz w:val="22"/>
          <w:szCs w:val="22"/>
        </w:rPr>
        <w:t xml:space="preserve"> </w:t>
      </w:r>
      <w:r w:rsidR="00EA0B5E">
        <w:rPr>
          <w:rFonts w:ascii="Franklin Gothic Book" w:hAnsi="Franklin Gothic Book" w:cstheme="minorHAnsi"/>
          <w:iCs/>
          <w:sz w:val="22"/>
          <w:szCs w:val="22"/>
        </w:rPr>
        <w:t>MSAC considered that requiring this scope of testing</w:t>
      </w:r>
      <w:r w:rsidR="00DD0335">
        <w:rPr>
          <w:rFonts w:ascii="Franklin Gothic Book" w:hAnsi="Franklin Gothic Book" w:cstheme="minorHAnsi"/>
          <w:iCs/>
          <w:sz w:val="22"/>
          <w:szCs w:val="22"/>
        </w:rPr>
        <w:t xml:space="preserve"> would also have the advantage of </w:t>
      </w:r>
      <w:r w:rsidRPr="000A1D4E">
        <w:rPr>
          <w:rFonts w:ascii="Franklin Gothic Book" w:hAnsi="Franklin Gothic Book" w:cstheme="minorHAnsi"/>
          <w:iCs/>
          <w:sz w:val="22"/>
          <w:szCs w:val="22"/>
        </w:rPr>
        <w:t>limit</w:t>
      </w:r>
      <w:r w:rsidR="00DD0335">
        <w:rPr>
          <w:rFonts w:ascii="Franklin Gothic Book" w:hAnsi="Franklin Gothic Book" w:cstheme="minorHAnsi"/>
          <w:iCs/>
          <w:sz w:val="22"/>
          <w:szCs w:val="22"/>
        </w:rPr>
        <w:t>ing</w:t>
      </w:r>
      <w:r w:rsidRPr="000A1D4E">
        <w:rPr>
          <w:rFonts w:ascii="Franklin Gothic Book" w:hAnsi="Franklin Gothic Book" w:cstheme="minorHAnsi"/>
          <w:iCs/>
          <w:sz w:val="22"/>
          <w:szCs w:val="22"/>
        </w:rPr>
        <w:t xml:space="preserve"> testing to laboratories with the appropriate ex</w:t>
      </w:r>
      <w:r w:rsidR="0053037F">
        <w:rPr>
          <w:rFonts w:ascii="Franklin Gothic Book" w:hAnsi="Franklin Gothic Book" w:cstheme="minorHAnsi"/>
          <w:iCs/>
          <w:sz w:val="22"/>
          <w:szCs w:val="22"/>
        </w:rPr>
        <w:t>pertise</w:t>
      </w:r>
      <w:r w:rsidRPr="000A1D4E">
        <w:rPr>
          <w:rFonts w:ascii="Franklin Gothic Book" w:hAnsi="Franklin Gothic Book" w:cstheme="minorHAnsi"/>
          <w:iCs/>
          <w:sz w:val="22"/>
          <w:szCs w:val="22"/>
        </w:rPr>
        <w:t xml:space="preserve"> and equipment.</w:t>
      </w:r>
      <w:r w:rsidR="00DD0335">
        <w:rPr>
          <w:rFonts w:ascii="Franklin Gothic Book" w:hAnsi="Franklin Gothic Book" w:cstheme="minorHAnsi"/>
          <w:iCs/>
          <w:sz w:val="22"/>
          <w:szCs w:val="22"/>
        </w:rPr>
        <w:t xml:space="preserve"> MSAC therefore </w:t>
      </w:r>
      <w:r w:rsidR="001752AA">
        <w:rPr>
          <w:rFonts w:ascii="Franklin Gothic Book" w:hAnsi="Franklin Gothic Book" w:cstheme="minorHAnsi"/>
          <w:iCs/>
          <w:sz w:val="22"/>
          <w:szCs w:val="22"/>
        </w:rPr>
        <w:t>advised</w:t>
      </w:r>
      <w:r w:rsidR="00FD1413">
        <w:rPr>
          <w:rFonts w:ascii="Franklin Gothic Book" w:hAnsi="Franklin Gothic Book" w:cstheme="minorHAnsi"/>
          <w:iCs/>
          <w:sz w:val="22"/>
          <w:szCs w:val="22"/>
        </w:rPr>
        <w:t xml:space="preserve"> that</w:t>
      </w:r>
      <w:r w:rsidR="001752AA">
        <w:rPr>
          <w:rFonts w:ascii="Franklin Gothic Book" w:hAnsi="Franklin Gothic Book" w:cstheme="minorHAnsi"/>
          <w:iCs/>
          <w:sz w:val="22"/>
          <w:szCs w:val="22"/>
        </w:rPr>
        <w:t xml:space="preserve"> </w:t>
      </w:r>
      <w:r w:rsidR="00DD0335">
        <w:rPr>
          <w:rFonts w:ascii="Franklin Gothic Book" w:hAnsi="Franklin Gothic Book" w:cstheme="minorHAnsi"/>
          <w:iCs/>
          <w:sz w:val="22"/>
          <w:szCs w:val="22"/>
        </w:rPr>
        <w:t xml:space="preserve">the item descriptor </w:t>
      </w:r>
      <w:r w:rsidR="001752AA">
        <w:rPr>
          <w:rFonts w:ascii="Franklin Gothic Book" w:hAnsi="Franklin Gothic Book" w:cstheme="minorHAnsi"/>
          <w:iCs/>
          <w:sz w:val="22"/>
          <w:szCs w:val="22"/>
        </w:rPr>
        <w:t xml:space="preserve">should </w:t>
      </w:r>
      <w:r w:rsidR="00FD1413">
        <w:rPr>
          <w:rFonts w:ascii="Franklin Gothic Book" w:hAnsi="Franklin Gothic Book" w:cstheme="minorHAnsi"/>
          <w:iCs/>
          <w:sz w:val="22"/>
          <w:szCs w:val="22"/>
        </w:rPr>
        <w:t xml:space="preserve">require </w:t>
      </w:r>
      <w:r w:rsidR="00DD0335">
        <w:rPr>
          <w:rFonts w:ascii="Franklin Gothic Book" w:hAnsi="Franklin Gothic Book" w:cstheme="minorHAnsi"/>
          <w:iCs/>
          <w:sz w:val="22"/>
          <w:szCs w:val="22"/>
        </w:rPr>
        <w:t xml:space="preserve">the </w:t>
      </w:r>
      <w:r w:rsidR="001752AA">
        <w:rPr>
          <w:rFonts w:ascii="Franklin Gothic Book" w:hAnsi="Franklin Gothic Book" w:cstheme="minorHAnsi"/>
          <w:iCs/>
          <w:sz w:val="22"/>
          <w:szCs w:val="22"/>
        </w:rPr>
        <w:t xml:space="preserve">gene </w:t>
      </w:r>
      <w:r w:rsidR="00DD0335">
        <w:rPr>
          <w:rFonts w:ascii="Franklin Gothic Book" w:hAnsi="Franklin Gothic Book" w:cstheme="minorHAnsi"/>
          <w:iCs/>
          <w:sz w:val="22"/>
          <w:szCs w:val="22"/>
        </w:rPr>
        <w:t>panel test</w:t>
      </w:r>
      <w:r w:rsidR="00FD1413">
        <w:rPr>
          <w:rFonts w:ascii="Franklin Gothic Book" w:hAnsi="Franklin Gothic Book" w:cstheme="minorHAnsi"/>
          <w:iCs/>
          <w:sz w:val="22"/>
          <w:szCs w:val="22"/>
        </w:rPr>
        <w:t xml:space="preserve"> to</w:t>
      </w:r>
      <w:r w:rsidR="00DD0335">
        <w:rPr>
          <w:rFonts w:ascii="Franklin Gothic Book" w:hAnsi="Franklin Gothic Book" w:cstheme="minorHAnsi"/>
          <w:iCs/>
          <w:sz w:val="22"/>
          <w:szCs w:val="22"/>
        </w:rPr>
        <w:t xml:space="preserve"> </w:t>
      </w:r>
      <w:r w:rsidR="001752AA">
        <w:rPr>
          <w:rFonts w:ascii="Franklin Gothic Book" w:hAnsi="Franklin Gothic Book" w:cstheme="minorHAnsi"/>
          <w:iCs/>
          <w:sz w:val="22"/>
          <w:szCs w:val="22"/>
        </w:rPr>
        <w:t>characterise</w:t>
      </w:r>
      <w:r w:rsidR="00DD0335">
        <w:rPr>
          <w:rFonts w:ascii="Franklin Gothic Book" w:hAnsi="Franklin Gothic Book" w:cstheme="minorHAnsi"/>
          <w:iCs/>
          <w:sz w:val="22"/>
          <w:szCs w:val="22"/>
        </w:rPr>
        <w:t xml:space="preserve"> </w:t>
      </w:r>
      <w:r w:rsidR="00683E30">
        <w:rPr>
          <w:rFonts w:ascii="Franklin Gothic Book" w:hAnsi="Franklin Gothic Book" w:cstheme="minorHAnsi"/>
          <w:iCs/>
          <w:sz w:val="22"/>
          <w:szCs w:val="22"/>
        </w:rPr>
        <w:t>single nucleotide</w:t>
      </w:r>
      <w:r w:rsidR="00DD0335">
        <w:rPr>
          <w:rFonts w:ascii="Franklin Gothic Book" w:hAnsi="Franklin Gothic Book" w:cstheme="minorHAnsi"/>
          <w:iCs/>
          <w:sz w:val="22"/>
          <w:szCs w:val="22"/>
        </w:rPr>
        <w:t xml:space="preserve"> variants</w:t>
      </w:r>
      <w:r w:rsidR="00683E30">
        <w:rPr>
          <w:rFonts w:ascii="Franklin Gothic Book" w:hAnsi="Franklin Gothic Book" w:cstheme="minorHAnsi"/>
          <w:iCs/>
          <w:sz w:val="22"/>
          <w:szCs w:val="22"/>
        </w:rPr>
        <w:t xml:space="preserve">, </w:t>
      </w:r>
      <w:r w:rsidR="00DD0335">
        <w:rPr>
          <w:rFonts w:ascii="Franklin Gothic Book" w:hAnsi="Franklin Gothic Book" w:cstheme="minorHAnsi"/>
          <w:iCs/>
          <w:sz w:val="22"/>
          <w:szCs w:val="22"/>
        </w:rPr>
        <w:t>structural variants</w:t>
      </w:r>
      <w:r w:rsidR="00683E30">
        <w:rPr>
          <w:rFonts w:ascii="Franklin Gothic Book" w:hAnsi="Franklin Gothic Book" w:cstheme="minorHAnsi"/>
          <w:iCs/>
          <w:sz w:val="22"/>
          <w:szCs w:val="22"/>
        </w:rPr>
        <w:t>, fusions</w:t>
      </w:r>
      <w:r w:rsidR="00DD0335">
        <w:rPr>
          <w:rFonts w:ascii="Franklin Gothic Book" w:hAnsi="Franklin Gothic Book" w:cstheme="minorHAnsi"/>
          <w:iCs/>
          <w:sz w:val="22"/>
          <w:szCs w:val="22"/>
        </w:rPr>
        <w:t xml:space="preserve"> and copy number alterations.</w:t>
      </w:r>
    </w:p>
    <w:p w14:paraId="0A282A64" w14:textId="366DCE97" w:rsidR="00C91491" w:rsidRPr="000A1D4E" w:rsidRDefault="00AF7405" w:rsidP="00C91491">
      <w:pPr>
        <w:spacing w:after="240"/>
        <w:jc w:val="both"/>
        <w:rPr>
          <w:rFonts w:ascii="Franklin Gothic Book" w:hAnsi="Franklin Gothic Book" w:cstheme="minorHAnsi"/>
          <w:iCs/>
          <w:sz w:val="22"/>
          <w:szCs w:val="22"/>
        </w:rPr>
      </w:pPr>
      <w:r>
        <w:rPr>
          <w:rFonts w:ascii="Franklin Gothic Book" w:hAnsi="Franklin Gothic Book" w:cstheme="minorHAnsi"/>
          <w:iCs/>
          <w:sz w:val="22"/>
          <w:szCs w:val="22"/>
        </w:rPr>
        <w:t>MSAC’s supported item descriptor is provided below (</w:t>
      </w:r>
      <w:r>
        <w:rPr>
          <w:rFonts w:ascii="Franklin Gothic Book" w:hAnsi="Franklin Gothic Book" w:cstheme="minorHAnsi"/>
          <w:iCs/>
          <w:sz w:val="22"/>
          <w:szCs w:val="22"/>
        </w:rPr>
        <w:fldChar w:fldCharType="begin"/>
      </w:r>
      <w:r>
        <w:rPr>
          <w:rFonts w:ascii="Franklin Gothic Book" w:hAnsi="Franklin Gothic Book" w:cstheme="minorHAnsi"/>
          <w:iCs/>
          <w:sz w:val="22"/>
          <w:szCs w:val="22"/>
        </w:rPr>
        <w:instrText xml:space="preserve"> REF _Ref101520403  \* MERGEFORMAT </w:instrText>
      </w:r>
      <w:r>
        <w:rPr>
          <w:rFonts w:ascii="Franklin Gothic Book" w:hAnsi="Franklin Gothic Book" w:cstheme="minorHAnsi"/>
          <w:iCs/>
          <w:sz w:val="22"/>
          <w:szCs w:val="22"/>
        </w:rPr>
        <w:fldChar w:fldCharType="separate"/>
      </w:r>
      <w:r w:rsidR="00C00851" w:rsidRPr="00C00851">
        <w:rPr>
          <w:rFonts w:ascii="Franklin Gothic Book" w:hAnsi="Franklin Gothic Book" w:cstheme="minorHAnsi"/>
          <w:iCs/>
          <w:sz w:val="22"/>
          <w:szCs w:val="22"/>
        </w:rPr>
        <w:t>Table 1</w:t>
      </w:r>
      <w:r>
        <w:rPr>
          <w:rFonts w:ascii="Franklin Gothic Book" w:hAnsi="Franklin Gothic Book" w:cstheme="minorHAnsi"/>
          <w:iCs/>
          <w:sz w:val="22"/>
          <w:szCs w:val="22"/>
        </w:rPr>
        <w:fldChar w:fldCharType="end"/>
      </w:r>
      <w:r>
        <w:rPr>
          <w:rFonts w:ascii="Franklin Gothic Book" w:hAnsi="Franklin Gothic Book" w:cstheme="minorHAnsi"/>
          <w:iCs/>
          <w:sz w:val="22"/>
          <w:szCs w:val="22"/>
        </w:rPr>
        <w:t>)</w:t>
      </w:r>
      <w:r w:rsidR="004C0286">
        <w:rPr>
          <w:rFonts w:ascii="Franklin Gothic Book" w:hAnsi="Franklin Gothic Book" w:cstheme="minorHAnsi"/>
          <w:iCs/>
          <w:sz w:val="22"/>
          <w:szCs w:val="22"/>
        </w:rPr>
        <w:t>.</w:t>
      </w:r>
    </w:p>
    <w:p w14:paraId="41EEF028" w14:textId="065E23BA" w:rsidR="00C91491" w:rsidRDefault="00C91491" w:rsidP="00C91491">
      <w:pPr>
        <w:pStyle w:val="Caption"/>
      </w:pPr>
      <w:bookmarkStart w:id="2" w:name="_Ref101520403"/>
      <w:r>
        <w:lastRenderedPageBreak/>
        <w:t xml:space="preserve">Table </w:t>
      </w:r>
      <w:fldSimple w:instr=" SEQ Table \* ARABIC ">
        <w:r w:rsidR="00C00851">
          <w:rPr>
            <w:noProof/>
          </w:rPr>
          <w:t>1</w:t>
        </w:r>
      </w:fldSimple>
      <w:bookmarkEnd w:id="2"/>
      <w:r>
        <w:tab/>
        <w:t>MSAC’s supported item descriptor</w:t>
      </w:r>
    </w:p>
    <w:tbl>
      <w:tblPr>
        <w:tblStyle w:val="TableGrid"/>
        <w:tblW w:w="0" w:type="auto"/>
        <w:tblLook w:val="04A0" w:firstRow="1" w:lastRow="0" w:firstColumn="1" w:lastColumn="0" w:noHBand="0" w:noVBand="1"/>
      </w:tblPr>
      <w:tblGrid>
        <w:gridCol w:w="4392"/>
        <w:gridCol w:w="4624"/>
      </w:tblGrid>
      <w:tr w:rsidR="00C91491" w:rsidRPr="00855EE2" w14:paraId="78FC0029" w14:textId="77777777" w:rsidTr="003B72B7">
        <w:tc>
          <w:tcPr>
            <w:tcW w:w="4392" w:type="dxa"/>
            <w:tcBorders>
              <w:right w:val="nil"/>
            </w:tcBorders>
          </w:tcPr>
          <w:p w14:paraId="0680005B" w14:textId="77777777" w:rsidR="00C91491" w:rsidRPr="00855EE2" w:rsidRDefault="00C91491" w:rsidP="00284A44">
            <w:pPr>
              <w:pStyle w:val="TableText1"/>
              <w:rPr>
                <w:b/>
                <w:bCs/>
                <w:sz w:val="20"/>
                <w:szCs w:val="20"/>
              </w:rPr>
            </w:pPr>
            <w:r w:rsidRPr="00855EE2">
              <w:rPr>
                <w:b/>
                <w:bCs/>
                <w:sz w:val="20"/>
                <w:szCs w:val="20"/>
              </w:rPr>
              <w:t xml:space="preserve">MBS item </w:t>
            </w:r>
            <w:proofErr w:type="spellStart"/>
            <w:r w:rsidRPr="00855EE2">
              <w:rPr>
                <w:b/>
                <w:bCs/>
                <w:sz w:val="20"/>
                <w:szCs w:val="20"/>
              </w:rPr>
              <w:t>xxxxx</w:t>
            </w:r>
            <w:proofErr w:type="spellEnd"/>
          </w:p>
        </w:tc>
        <w:tc>
          <w:tcPr>
            <w:tcW w:w="4624" w:type="dxa"/>
            <w:tcBorders>
              <w:left w:val="nil"/>
            </w:tcBorders>
          </w:tcPr>
          <w:p w14:paraId="779A6405" w14:textId="77777777" w:rsidR="00C91491" w:rsidRPr="00855EE2" w:rsidRDefault="00C91491" w:rsidP="00284A44">
            <w:pPr>
              <w:pStyle w:val="TableText1"/>
              <w:jc w:val="right"/>
              <w:rPr>
                <w:b/>
                <w:bCs/>
                <w:sz w:val="20"/>
                <w:szCs w:val="20"/>
              </w:rPr>
            </w:pPr>
            <w:r w:rsidRPr="00855EE2">
              <w:rPr>
                <w:b/>
                <w:bCs/>
                <w:sz w:val="20"/>
                <w:szCs w:val="20"/>
              </w:rPr>
              <w:t>Category 6 – Genetics P7</w:t>
            </w:r>
          </w:p>
        </w:tc>
      </w:tr>
      <w:tr w:rsidR="00C91491" w:rsidRPr="00855EE2" w14:paraId="3CA05903" w14:textId="77777777" w:rsidTr="00300F47">
        <w:tc>
          <w:tcPr>
            <w:tcW w:w="9016" w:type="dxa"/>
            <w:gridSpan w:val="2"/>
          </w:tcPr>
          <w:p w14:paraId="769F17E8" w14:textId="6BD7BFD1" w:rsidR="00C91491" w:rsidRPr="00594539" w:rsidRDefault="00C91491" w:rsidP="00284A44">
            <w:pPr>
              <w:pStyle w:val="TableText1"/>
              <w:rPr>
                <w:sz w:val="20"/>
                <w:szCs w:val="20"/>
              </w:rPr>
            </w:pPr>
            <w:r w:rsidRPr="00855EE2">
              <w:rPr>
                <w:sz w:val="20"/>
                <w:szCs w:val="20"/>
              </w:rPr>
              <w:t>Characterisation of variants including</w:t>
            </w:r>
            <w:r w:rsidR="00683E30">
              <w:rPr>
                <w:sz w:val="20"/>
                <w:szCs w:val="20"/>
              </w:rPr>
              <w:t xml:space="preserve"> single nucleotide</w:t>
            </w:r>
            <w:r w:rsidRPr="00855EE2">
              <w:rPr>
                <w:sz w:val="20"/>
                <w:szCs w:val="20"/>
              </w:rPr>
              <w:t xml:space="preserve"> variants</w:t>
            </w:r>
            <w:r w:rsidR="00683E30">
              <w:rPr>
                <w:sz w:val="20"/>
                <w:szCs w:val="20"/>
              </w:rPr>
              <w:t>,</w:t>
            </w:r>
            <w:r w:rsidRPr="00855EE2">
              <w:rPr>
                <w:sz w:val="20"/>
                <w:szCs w:val="20"/>
              </w:rPr>
              <w:t xml:space="preserve"> structural variants</w:t>
            </w:r>
            <w:r w:rsidR="00683E30">
              <w:rPr>
                <w:sz w:val="20"/>
                <w:szCs w:val="20"/>
              </w:rPr>
              <w:t>, fusions</w:t>
            </w:r>
            <w:r w:rsidRPr="00855EE2">
              <w:rPr>
                <w:sz w:val="20"/>
                <w:szCs w:val="20"/>
              </w:rPr>
              <w:t xml:space="preserve"> and copy number alterations in a single gene panel in the </w:t>
            </w:r>
            <w:r w:rsidRPr="004C0286">
              <w:rPr>
                <w:sz w:val="20"/>
                <w:szCs w:val="20"/>
              </w:rPr>
              <w:t>diagnostic work-up by the pathologist, specialist or consultant physician, of a patient with clinical or laboratory evidence of a glioma, glioneuronal tumour or glioblasto</w:t>
            </w:r>
            <w:r w:rsidRPr="00EC1C6C">
              <w:rPr>
                <w:sz w:val="20"/>
                <w:szCs w:val="20"/>
              </w:rPr>
              <w:t xml:space="preserve">ma to aid diagnosis </w:t>
            </w:r>
            <w:r w:rsidR="00C51603">
              <w:rPr>
                <w:sz w:val="20"/>
                <w:szCs w:val="20"/>
              </w:rPr>
              <w:t xml:space="preserve">and </w:t>
            </w:r>
            <w:r w:rsidRPr="00EC1C6C">
              <w:rPr>
                <w:sz w:val="20"/>
                <w:szCs w:val="20"/>
              </w:rPr>
              <w:t xml:space="preserve">classification </w:t>
            </w:r>
            <w:r w:rsidR="00C51603">
              <w:rPr>
                <w:sz w:val="20"/>
                <w:szCs w:val="20"/>
              </w:rPr>
              <w:t>in line with</w:t>
            </w:r>
            <w:r w:rsidR="00C51603" w:rsidRPr="00EC1C6C">
              <w:rPr>
                <w:sz w:val="20"/>
                <w:szCs w:val="20"/>
              </w:rPr>
              <w:t xml:space="preserve"> </w:t>
            </w:r>
            <w:r w:rsidRPr="00EC1C6C">
              <w:rPr>
                <w:sz w:val="20"/>
                <w:szCs w:val="20"/>
              </w:rPr>
              <w:t xml:space="preserve">the current WHO criteria and management, including but not limited to: </w:t>
            </w:r>
          </w:p>
          <w:p w14:paraId="50651897" w14:textId="7E147617" w:rsidR="00C91491" w:rsidRPr="00EC1C6C" w:rsidRDefault="00C91491" w:rsidP="00284A44">
            <w:pPr>
              <w:pStyle w:val="TableText1"/>
              <w:numPr>
                <w:ilvl w:val="0"/>
                <w:numId w:val="29"/>
              </w:numPr>
              <w:spacing w:before="60" w:after="60" w:line="240" w:lineRule="auto"/>
              <w:jc w:val="left"/>
              <w:rPr>
                <w:i/>
                <w:iCs/>
                <w:sz w:val="20"/>
                <w:szCs w:val="20"/>
                <w:lang w:val="pt-BR"/>
              </w:rPr>
            </w:pPr>
            <w:r w:rsidRPr="00594539">
              <w:rPr>
                <w:i/>
                <w:iCs/>
                <w:sz w:val="20"/>
                <w:szCs w:val="20"/>
                <w:lang w:val="pt-BR"/>
              </w:rPr>
              <w:t>IDH1</w:t>
            </w:r>
            <w:r w:rsidRPr="004C0286">
              <w:rPr>
                <w:i/>
                <w:iCs/>
                <w:sz w:val="20"/>
                <w:szCs w:val="20"/>
                <w:lang w:val="pt-BR"/>
              </w:rPr>
              <w:t xml:space="preserve">, IDH2 </w:t>
            </w:r>
            <w:r w:rsidRPr="003B72B7">
              <w:rPr>
                <w:sz w:val="20"/>
                <w:szCs w:val="20"/>
                <w:lang w:val="pt-BR"/>
              </w:rPr>
              <w:t xml:space="preserve">variant </w:t>
            </w:r>
            <w:r w:rsidRPr="004C0286">
              <w:rPr>
                <w:sz w:val="20"/>
                <w:szCs w:val="20"/>
                <w:lang w:val="pt-BR"/>
              </w:rPr>
              <w:t>testing</w:t>
            </w:r>
          </w:p>
          <w:p w14:paraId="516D35B1" w14:textId="77777777" w:rsidR="00C91491" w:rsidRPr="00EC1C6C" w:rsidRDefault="00C91491" w:rsidP="00284A44">
            <w:pPr>
              <w:pStyle w:val="TableText1"/>
              <w:numPr>
                <w:ilvl w:val="0"/>
                <w:numId w:val="29"/>
              </w:numPr>
              <w:spacing w:before="60" w:after="60" w:line="240" w:lineRule="auto"/>
              <w:jc w:val="left"/>
              <w:rPr>
                <w:i/>
                <w:iCs/>
                <w:sz w:val="20"/>
                <w:szCs w:val="20"/>
              </w:rPr>
            </w:pPr>
            <w:r w:rsidRPr="003B72B7">
              <w:rPr>
                <w:sz w:val="20"/>
                <w:szCs w:val="20"/>
              </w:rPr>
              <w:t>1p/19q</w:t>
            </w:r>
            <w:r w:rsidRPr="004C0286">
              <w:rPr>
                <w:i/>
                <w:iCs/>
                <w:sz w:val="20"/>
                <w:szCs w:val="20"/>
              </w:rPr>
              <w:t xml:space="preserve"> </w:t>
            </w:r>
            <w:r w:rsidRPr="004C0286">
              <w:rPr>
                <w:sz w:val="20"/>
                <w:szCs w:val="20"/>
              </w:rPr>
              <w:t>co-deletion assessment</w:t>
            </w:r>
          </w:p>
          <w:p w14:paraId="6ACD5042" w14:textId="0853A64F" w:rsidR="00C91491" w:rsidRPr="004C0286" w:rsidRDefault="00C91491" w:rsidP="00284A44">
            <w:pPr>
              <w:pStyle w:val="TableText1"/>
              <w:numPr>
                <w:ilvl w:val="0"/>
                <w:numId w:val="29"/>
              </w:numPr>
              <w:spacing w:before="60" w:after="60" w:line="240" w:lineRule="auto"/>
              <w:jc w:val="left"/>
              <w:rPr>
                <w:i/>
                <w:iCs/>
                <w:sz w:val="20"/>
                <w:szCs w:val="20"/>
              </w:rPr>
            </w:pPr>
            <w:r w:rsidRPr="00594539">
              <w:rPr>
                <w:i/>
                <w:iCs/>
                <w:sz w:val="20"/>
                <w:szCs w:val="20"/>
              </w:rPr>
              <w:t xml:space="preserve">H3F3A </w:t>
            </w:r>
            <w:r w:rsidRPr="003B72B7">
              <w:rPr>
                <w:sz w:val="20"/>
                <w:szCs w:val="20"/>
              </w:rPr>
              <w:t xml:space="preserve">variant </w:t>
            </w:r>
            <w:r w:rsidRPr="004C0286">
              <w:rPr>
                <w:sz w:val="20"/>
                <w:szCs w:val="20"/>
              </w:rPr>
              <w:t>status</w:t>
            </w:r>
          </w:p>
          <w:p w14:paraId="618CD130" w14:textId="77777777" w:rsidR="00C91491" w:rsidRPr="00EC1C6C" w:rsidRDefault="00C91491" w:rsidP="00284A44">
            <w:pPr>
              <w:pStyle w:val="TableText1"/>
              <w:numPr>
                <w:ilvl w:val="0"/>
                <w:numId w:val="29"/>
              </w:numPr>
              <w:spacing w:before="60" w:after="60" w:line="240" w:lineRule="auto"/>
              <w:jc w:val="left"/>
              <w:rPr>
                <w:i/>
                <w:iCs/>
                <w:sz w:val="20"/>
                <w:szCs w:val="20"/>
              </w:rPr>
            </w:pPr>
            <w:r w:rsidRPr="00EC1C6C">
              <w:rPr>
                <w:i/>
                <w:iCs/>
                <w:sz w:val="20"/>
                <w:szCs w:val="20"/>
              </w:rPr>
              <w:t xml:space="preserve">TERT </w:t>
            </w:r>
            <w:r w:rsidRPr="00EC1C6C">
              <w:rPr>
                <w:sz w:val="20"/>
                <w:szCs w:val="20"/>
              </w:rPr>
              <w:t xml:space="preserve">promoter </w:t>
            </w:r>
            <w:r w:rsidRPr="003B72B7">
              <w:rPr>
                <w:sz w:val="20"/>
                <w:szCs w:val="20"/>
              </w:rPr>
              <w:t xml:space="preserve">variant </w:t>
            </w:r>
            <w:r w:rsidRPr="004C0286">
              <w:rPr>
                <w:sz w:val="20"/>
                <w:szCs w:val="20"/>
              </w:rPr>
              <w:t>status</w:t>
            </w:r>
          </w:p>
          <w:p w14:paraId="7241F6C6" w14:textId="77777777" w:rsidR="00C91491" w:rsidRPr="00EC1C6C" w:rsidRDefault="00C91491" w:rsidP="00284A44">
            <w:pPr>
              <w:pStyle w:val="TableText1"/>
              <w:numPr>
                <w:ilvl w:val="0"/>
                <w:numId w:val="29"/>
              </w:numPr>
              <w:spacing w:before="60" w:after="60" w:line="240" w:lineRule="auto"/>
              <w:jc w:val="left"/>
              <w:rPr>
                <w:i/>
                <w:iCs/>
                <w:sz w:val="20"/>
                <w:szCs w:val="20"/>
              </w:rPr>
            </w:pPr>
            <w:r w:rsidRPr="00EC1C6C">
              <w:rPr>
                <w:i/>
                <w:iCs/>
                <w:sz w:val="20"/>
                <w:szCs w:val="20"/>
              </w:rPr>
              <w:t xml:space="preserve">EGFR </w:t>
            </w:r>
            <w:r w:rsidRPr="00EC1C6C">
              <w:rPr>
                <w:sz w:val="20"/>
                <w:szCs w:val="20"/>
              </w:rPr>
              <w:t>amplification</w:t>
            </w:r>
          </w:p>
          <w:p w14:paraId="67A5100D" w14:textId="77777777" w:rsidR="00C91491" w:rsidRPr="004C0286" w:rsidRDefault="00C91491" w:rsidP="00284A44">
            <w:pPr>
              <w:pStyle w:val="TableText1"/>
              <w:numPr>
                <w:ilvl w:val="0"/>
                <w:numId w:val="29"/>
              </w:numPr>
              <w:spacing w:before="60" w:after="60" w:line="240" w:lineRule="auto"/>
              <w:jc w:val="left"/>
              <w:rPr>
                <w:i/>
                <w:iCs/>
                <w:sz w:val="20"/>
                <w:szCs w:val="20"/>
              </w:rPr>
            </w:pPr>
            <w:r w:rsidRPr="00EC1C6C">
              <w:rPr>
                <w:i/>
                <w:iCs/>
                <w:sz w:val="20"/>
                <w:szCs w:val="20"/>
              </w:rPr>
              <w:t>CDKN2A/B</w:t>
            </w:r>
            <w:r w:rsidRPr="00594539">
              <w:rPr>
                <w:sz w:val="20"/>
                <w:szCs w:val="20"/>
              </w:rPr>
              <w:t xml:space="preserve"> deletion</w:t>
            </w:r>
          </w:p>
          <w:p w14:paraId="4265A1F5" w14:textId="0E7F7C13" w:rsidR="00C91491" w:rsidRPr="004C0286" w:rsidRDefault="00C91491" w:rsidP="00284A44">
            <w:pPr>
              <w:pStyle w:val="TableText1"/>
              <w:numPr>
                <w:ilvl w:val="0"/>
                <w:numId w:val="29"/>
              </w:numPr>
              <w:spacing w:before="60" w:after="60" w:line="240" w:lineRule="auto"/>
              <w:jc w:val="left"/>
              <w:rPr>
                <w:sz w:val="20"/>
                <w:szCs w:val="20"/>
              </w:rPr>
            </w:pPr>
            <w:r w:rsidRPr="004C0286">
              <w:rPr>
                <w:i/>
                <w:iCs/>
                <w:sz w:val="20"/>
                <w:szCs w:val="20"/>
              </w:rPr>
              <w:t xml:space="preserve">BRAF </w:t>
            </w:r>
            <w:r w:rsidRPr="004C0286">
              <w:rPr>
                <w:sz w:val="20"/>
                <w:szCs w:val="20"/>
              </w:rPr>
              <w:t>variant</w:t>
            </w:r>
            <w:r w:rsidR="00EA2BF6">
              <w:rPr>
                <w:sz w:val="20"/>
                <w:szCs w:val="20"/>
              </w:rPr>
              <w:t>s</w:t>
            </w:r>
            <w:r w:rsidRPr="004C0286">
              <w:rPr>
                <w:sz w:val="20"/>
                <w:szCs w:val="20"/>
              </w:rPr>
              <w:t>.</w:t>
            </w:r>
          </w:p>
          <w:p w14:paraId="500308AC" w14:textId="503DC890" w:rsidR="00C91491" w:rsidRPr="004C0286" w:rsidRDefault="00C91491" w:rsidP="00284A44">
            <w:pPr>
              <w:pStyle w:val="TableText1"/>
              <w:rPr>
                <w:sz w:val="20"/>
                <w:szCs w:val="20"/>
              </w:rPr>
            </w:pPr>
            <w:r w:rsidRPr="00EC1C6C">
              <w:rPr>
                <w:sz w:val="20"/>
                <w:szCs w:val="20"/>
              </w:rPr>
              <w:t>Maximum one test per diagnostic episode</w:t>
            </w:r>
            <w:r w:rsidR="00594539">
              <w:rPr>
                <w:sz w:val="20"/>
                <w:szCs w:val="20"/>
              </w:rPr>
              <w:t>.</w:t>
            </w:r>
          </w:p>
          <w:p w14:paraId="1F709211" w14:textId="0C1FD076" w:rsidR="00C91491" w:rsidRPr="00855EE2" w:rsidRDefault="00C91491" w:rsidP="00284A44">
            <w:pPr>
              <w:pStyle w:val="TableText1"/>
              <w:rPr>
                <w:sz w:val="20"/>
                <w:szCs w:val="20"/>
              </w:rPr>
            </w:pPr>
            <w:r w:rsidRPr="004C0286">
              <w:rPr>
                <w:sz w:val="20"/>
                <w:szCs w:val="20"/>
              </w:rPr>
              <w:t xml:space="preserve">Fee: </w:t>
            </w:r>
            <w:r w:rsidRPr="00920FEB">
              <w:rPr>
                <w:sz w:val="20"/>
                <w:szCs w:val="20"/>
              </w:rPr>
              <w:t>$</w:t>
            </w:r>
            <w:r w:rsidR="005114AA" w:rsidRPr="00920FEB">
              <w:rPr>
                <w:sz w:val="20"/>
                <w:szCs w:val="20"/>
              </w:rPr>
              <w:t>887.90</w:t>
            </w:r>
            <w:r w:rsidRPr="00920FEB">
              <w:rPr>
                <w:sz w:val="20"/>
                <w:szCs w:val="20"/>
              </w:rPr>
              <w:t>, Benefit 75%=$</w:t>
            </w:r>
            <w:r w:rsidR="005114AA" w:rsidRPr="00920FEB">
              <w:rPr>
                <w:sz w:val="20"/>
                <w:szCs w:val="20"/>
              </w:rPr>
              <w:t>665.9</w:t>
            </w:r>
            <w:r w:rsidR="00705D58">
              <w:rPr>
                <w:sz w:val="20"/>
                <w:szCs w:val="20"/>
              </w:rPr>
              <w:t>5</w:t>
            </w:r>
            <w:r w:rsidR="005114AA" w:rsidRPr="00920FEB">
              <w:rPr>
                <w:sz w:val="20"/>
                <w:szCs w:val="20"/>
              </w:rPr>
              <w:t>, 85%=$800</w:t>
            </w:r>
            <w:r w:rsidR="001752AA">
              <w:rPr>
                <w:sz w:val="20"/>
                <w:szCs w:val="20"/>
              </w:rPr>
              <w:t>.00</w:t>
            </w:r>
          </w:p>
        </w:tc>
      </w:tr>
    </w:tbl>
    <w:p w14:paraId="158C8A7C" w14:textId="3D801462" w:rsidR="00237848" w:rsidRDefault="009D4824" w:rsidP="00300F47">
      <w:pPr>
        <w:pStyle w:val="TableFooter"/>
        <w:contextualSpacing w:val="0"/>
        <w:rPr>
          <w:sz w:val="22"/>
          <w:szCs w:val="24"/>
        </w:rPr>
      </w:pPr>
      <w:r w:rsidRPr="00C51603">
        <w:rPr>
          <w:sz w:val="22"/>
          <w:szCs w:val="24"/>
        </w:rPr>
        <w:t xml:space="preserve">Practice Note: </w:t>
      </w:r>
      <w:r>
        <w:rPr>
          <w:sz w:val="22"/>
          <w:szCs w:val="24"/>
        </w:rPr>
        <w:t>T</w:t>
      </w:r>
      <w:r w:rsidRPr="00C51603">
        <w:rPr>
          <w:sz w:val="22"/>
          <w:szCs w:val="24"/>
        </w:rPr>
        <w:t>esting should include, but not be restricted to, genes described in the 2021 World Health Organi</w:t>
      </w:r>
      <w:r w:rsidR="00C75EB5">
        <w:rPr>
          <w:sz w:val="22"/>
          <w:szCs w:val="24"/>
        </w:rPr>
        <w:t>z</w:t>
      </w:r>
      <w:r w:rsidRPr="00C51603">
        <w:rPr>
          <w:sz w:val="22"/>
          <w:szCs w:val="24"/>
        </w:rPr>
        <w:t>ation Classification of Tumours, 5</w:t>
      </w:r>
      <w:r w:rsidRPr="00C51603">
        <w:rPr>
          <w:sz w:val="22"/>
          <w:szCs w:val="24"/>
          <w:vertAlign w:val="superscript"/>
        </w:rPr>
        <w:t>th</w:t>
      </w:r>
      <w:r w:rsidRPr="00C51603">
        <w:rPr>
          <w:sz w:val="22"/>
          <w:szCs w:val="24"/>
        </w:rPr>
        <w:t xml:space="preserve"> Edition, Volume 6 (Central Nervous System Tumours).</w:t>
      </w:r>
    </w:p>
    <w:p w14:paraId="1DA16D3D" w14:textId="216407D0" w:rsidR="00300F47" w:rsidRDefault="00300F47" w:rsidP="00300F47">
      <w:pPr>
        <w:pStyle w:val="TableFooter"/>
        <w:contextualSpacing w:val="0"/>
      </w:pPr>
      <w:r>
        <w:t>Source: MSAC.</w:t>
      </w:r>
    </w:p>
    <w:p w14:paraId="75A055C6" w14:textId="2FEAA9C8" w:rsidR="007462DE" w:rsidRDefault="007462DE" w:rsidP="000A1D4E">
      <w:pPr>
        <w:spacing w:after="240"/>
        <w:jc w:val="both"/>
        <w:rPr>
          <w:rFonts w:ascii="Franklin Gothic Book" w:hAnsi="Franklin Gothic Book" w:cstheme="minorHAnsi"/>
          <w:iCs/>
          <w:sz w:val="22"/>
          <w:szCs w:val="22"/>
        </w:rPr>
      </w:pPr>
      <w:r>
        <w:rPr>
          <w:rFonts w:ascii="Franklin Gothic Book" w:hAnsi="Franklin Gothic Book" w:cstheme="minorHAnsi"/>
          <w:iCs/>
          <w:sz w:val="22"/>
          <w:szCs w:val="22"/>
        </w:rPr>
        <w:t xml:space="preserve">MSAC considered </w:t>
      </w:r>
      <w:r w:rsidR="00705D58">
        <w:rPr>
          <w:rFonts w:ascii="Franklin Gothic Book" w:hAnsi="Franklin Gothic Book" w:cstheme="minorHAnsi"/>
          <w:iCs/>
          <w:sz w:val="22"/>
          <w:szCs w:val="22"/>
        </w:rPr>
        <w:t xml:space="preserve">it appropriate </w:t>
      </w:r>
      <w:r w:rsidR="003957DF">
        <w:rPr>
          <w:rFonts w:ascii="Franklin Gothic Book" w:hAnsi="Franklin Gothic Book" w:cstheme="minorHAnsi"/>
          <w:iCs/>
          <w:sz w:val="22"/>
          <w:szCs w:val="22"/>
        </w:rPr>
        <w:t>that</w:t>
      </w:r>
      <w:r>
        <w:rPr>
          <w:rFonts w:ascii="Franklin Gothic Book" w:hAnsi="Franklin Gothic Book" w:cstheme="minorHAnsi"/>
          <w:iCs/>
          <w:sz w:val="22"/>
          <w:szCs w:val="22"/>
        </w:rPr>
        <w:t xml:space="preserve"> the gene panel test be </w:t>
      </w:r>
      <w:r w:rsidR="003957DF">
        <w:rPr>
          <w:rFonts w:ascii="Franklin Gothic Book" w:hAnsi="Franklin Gothic Book" w:cstheme="minorHAnsi"/>
          <w:iCs/>
          <w:sz w:val="22"/>
          <w:szCs w:val="22"/>
        </w:rPr>
        <w:t>available</w:t>
      </w:r>
      <w:r>
        <w:rPr>
          <w:rFonts w:ascii="Franklin Gothic Book" w:hAnsi="Franklin Gothic Book" w:cstheme="minorHAnsi"/>
          <w:iCs/>
          <w:sz w:val="22"/>
          <w:szCs w:val="22"/>
        </w:rPr>
        <w:t xml:space="preserve"> on diagnosis and on relapse of disease, in keeping with </w:t>
      </w:r>
      <w:r w:rsidR="005C265A">
        <w:rPr>
          <w:rFonts w:ascii="Franklin Gothic Book" w:hAnsi="Franklin Gothic Book" w:cstheme="minorHAnsi"/>
          <w:iCs/>
          <w:sz w:val="22"/>
          <w:szCs w:val="22"/>
        </w:rPr>
        <w:t>its</w:t>
      </w:r>
      <w:r>
        <w:rPr>
          <w:rFonts w:ascii="Franklin Gothic Book" w:hAnsi="Franklin Gothic Book" w:cstheme="minorHAnsi"/>
          <w:iCs/>
          <w:sz w:val="22"/>
          <w:szCs w:val="22"/>
        </w:rPr>
        <w:t xml:space="preserve"> advice in MSAC Application 1527. However, MSAC considered </w:t>
      </w:r>
      <w:r w:rsidR="009D4824">
        <w:rPr>
          <w:rFonts w:ascii="Franklin Gothic Book" w:hAnsi="Franklin Gothic Book" w:cstheme="minorHAnsi"/>
          <w:iCs/>
          <w:sz w:val="22"/>
          <w:szCs w:val="22"/>
        </w:rPr>
        <w:t xml:space="preserve">loosening </w:t>
      </w:r>
      <w:r>
        <w:rPr>
          <w:rFonts w:ascii="Franklin Gothic Book" w:hAnsi="Franklin Gothic Book" w:cstheme="minorHAnsi"/>
          <w:iCs/>
          <w:sz w:val="22"/>
          <w:szCs w:val="22"/>
        </w:rPr>
        <w:t xml:space="preserve">the </w:t>
      </w:r>
      <w:r w:rsidR="009D4824">
        <w:rPr>
          <w:rFonts w:ascii="Franklin Gothic Book" w:hAnsi="Franklin Gothic Book" w:cstheme="minorHAnsi"/>
          <w:iCs/>
          <w:sz w:val="22"/>
          <w:szCs w:val="22"/>
        </w:rPr>
        <w:t>frequency</w:t>
      </w:r>
      <w:r>
        <w:rPr>
          <w:rFonts w:ascii="Franklin Gothic Book" w:hAnsi="Franklin Gothic Book" w:cstheme="minorHAnsi"/>
          <w:iCs/>
          <w:sz w:val="22"/>
          <w:szCs w:val="22"/>
        </w:rPr>
        <w:t xml:space="preserve"> restriction on existing MBS item</w:t>
      </w:r>
      <w:r w:rsidR="00705D58">
        <w:rPr>
          <w:rFonts w:ascii="Franklin Gothic Book" w:hAnsi="Franklin Gothic Book" w:cstheme="minorHAnsi"/>
          <w:iCs/>
          <w:sz w:val="22"/>
          <w:szCs w:val="22"/>
        </w:rPr>
        <w:t>s</w:t>
      </w:r>
      <w:r>
        <w:rPr>
          <w:rFonts w:ascii="Franklin Gothic Book" w:hAnsi="Franklin Gothic Book" w:cstheme="minorHAnsi"/>
          <w:iCs/>
          <w:sz w:val="22"/>
          <w:szCs w:val="22"/>
        </w:rPr>
        <w:t xml:space="preserve"> 73371, 73372, and 73373 </w:t>
      </w:r>
      <w:r w:rsidR="009D4824">
        <w:rPr>
          <w:rFonts w:ascii="Franklin Gothic Book" w:hAnsi="Franklin Gothic Book" w:cstheme="minorHAnsi"/>
          <w:iCs/>
          <w:sz w:val="22"/>
          <w:szCs w:val="22"/>
        </w:rPr>
        <w:t>would be</w:t>
      </w:r>
      <w:r>
        <w:rPr>
          <w:rFonts w:ascii="Franklin Gothic Book" w:hAnsi="Franklin Gothic Book" w:cstheme="minorHAnsi"/>
          <w:iCs/>
          <w:sz w:val="22"/>
          <w:szCs w:val="22"/>
        </w:rPr>
        <w:t xml:space="preserve"> </w:t>
      </w:r>
      <w:r w:rsidR="009D4824">
        <w:rPr>
          <w:rFonts w:ascii="Franklin Gothic Book" w:hAnsi="Franklin Gothic Book" w:cstheme="minorHAnsi"/>
          <w:iCs/>
          <w:sz w:val="22"/>
          <w:szCs w:val="22"/>
        </w:rPr>
        <w:t>in</w:t>
      </w:r>
      <w:r>
        <w:rPr>
          <w:rFonts w:ascii="Franklin Gothic Book" w:hAnsi="Franklin Gothic Book" w:cstheme="minorHAnsi"/>
          <w:iCs/>
          <w:sz w:val="22"/>
          <w:szCs w:val="22"/>
        </w:rPr>
        <w:t xml:space="preserve">appropriate, </w:t>
      </w:r>
      <w:r w:rsidR="009D4824">
        <w:rPr>
          <w:rFonts w:ascii="Franklin Gothic Book" w:hAnsi="Franklin Gothic Book" w:cstheme="minorHAnsi"/>
          <w:iCs/>
          <w:sz w:val="22"/>
          <w:szCs w:val="22"/>
        </w:rPr>
        <w:t>and retaining the existing frequency restriction would encourage use of the superior panel test</w:t>
      </w:r>
      <w:r>
        <w:rPr>
          <w:rFonts w:ascii="Franklin Gothic Book" w:hAnsi="Franklin Gothic Book" w:cstheme="minorHAnsi"/>
          <w:iCs/>
          <w:sz w:val="22"/>
          <w:szCs w:val="22"/>
        </w:rPr>
        <w:t>.</w:t>
      </w:r>
    </w:p>
    <w:p w14:paraId="0BCE7840" w14:textId="03C24A99"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the location of the proposed glioma gene panel in the clinical management algorithm and considered it possible that in the future glioma panel </w:t>
      </w:r>
      <w:r w:rsidR="00C91491">
        <w:rPr>
          <w:rFonts w:ascii="Franklin Gothic Book" w:hAnsi="Franklin Gothic Book" w:cstheme="minorHAnsi"/>
          <w:iCs/>
          <w:sz w:val="22"/>
          <w:szCs w:val="22"/>
        </w:rPr>
        <w:t xml:space="preserve">testing </w:t>
      </w:r>
      <w:r w:rsidR="00012898">
        <w:rPr>
          <w:rFonts w:ascii="Franklin Gothic Book" w:hAnsi="Franklin Gothic Book" w:cstheme="minorHAnsi"/>
          <w:iCs/>
          <w:sz w:val="22"/>
          <w:szCs w:val="22"/>
        </w:rPr>
        <w:t>c</w:t>
      </w:r>
      <w:r w:rsidRPr="000A1D4E">
        <w:rPr>
          <w:rFonts w:ascii="Franklin Gothic Book" w:hAnsi="Franklin Gothic Book" w:cstheme="minorHAnsi"/>
          <w:iCs/>
          <w:sz w:val="22"/>
          <w:szCs w:val="22"/>
        </w:rPr>
        <w:t>ould be conducted before any immunohistochemical testing.</w:t>
      </w:r>
      <w:r w:rsidR="009D4824">
        <w:rPr>
          <w:rFonts w:ascii="Franklin Gothic Book" w:hAnsi="Franklin Gothic Book" w:cstheme="minorHAnsi"/>
          <w:iCs/>
          <w:sz w:val="22"/>
          <w:szCs w:val="22"/>
        </w:rPr>
        <w:t xml:space="preserve"> MSAC noted IDH IHC may become irrelevant in the future, so considered tissue pathology testing to be a more appropriate trigger to reflex to panel testing.</w:t>
      </w:r>
    </w:p>
    <w:p w14:paraId="0AE7DFBB" w14:textId="0FC95427"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w:t>
      </w:r>
      <w:r w:rsidR="007734B0">
        <w:rPr>
          <w:rFonts w:ascii="Franklin Gothic Book" w:hAnsi="Franklin Gothic Book" w:cstheme="minorHAnsi"/>
          <w:iCs/>
          <w:sz w:val="22"/>
          <w:szCs w:val="22"/>
        </w:rPr>
        <w:t>that</w:t>
      </w:r>
      <w:r w:rsidRPr="000A1D4E">
        <w:rPr>
          <w:rFonts w:ascii="Franklin Gothic Book" w:hAnsi="Franklin Gothic Book" w:cstheme="minorHAnsi"/>
          <w:iCs/>
          <w:sz w:val="22"/>
          <w:szCs w:val="22"/>
        </w:rPr>
        <w:t xml:space="preserve"> glioma </w:t>
      </w:r>
      <w:r w:rsidR="007734B0">
        <w:rPr>
          <w:rFonts w:ascii="Franklin Gothic Book" w:hAnsi="Franklin Gothic Book" w:cstheme="minorHAnsi"/>
          <w:iCs/>
          <w:sz w:val="22"/>
          <w:szCs w:val="22"/>
        </w:rPr>
        <w:t xml:space="preserve">gene </w:t>
      </w:r>
      <w:r w:rsidRPr="000A1D4E">
        <w:rPr>
          <w:rFonts w:ascii="Franklin Gothic Book" w:hAnsi="Franklin Gothic Book" w:cstheme="minorHAnsi"/>
          <w:iCs/>
          <w:sz w:val="22"/>
          <w:szCs w:val="22"/>
        </w:rPr>
        <w:t>panel testing</w:t>
      </w:r>
      <w:r w:rsidR="007734B0">
        <w:rPr>
          <w:rFonts w:ascii="Franklin Gothic Book" w:hAnsi="Franklin Gothic Book" w:cstheme="minorHAnsi"/>
          <w:iCs/>
          <w:sz w:val="22"/>
          <w:szCs w:val="22"/>
        </w:rPr>
        <w:t xml:space="preserve"> </w:t>
      </w:r>
      <w:r w:rsidR="00BF4A0B">
        <w:rPr>
          <w:rFonts w:ascii="Franklin Gothic Book" w:hAnsi="Franklin Gothic Book" w:cstheme="minorHAnsi"/>
          <w:iCs/>
          <w:sz w:val="22"/>
          <w:szCs w:val="22"/>
        </w:rPr>
        <w:t xml:space="preserve">can </w:t>
      </w:r>
      <w:r w:rsidRPr="000A1D4E">
        <w:rPr>
          <w:rFonts w:ascii="Franklin Gothic Book" w:hAnsi="Franklin Gothic Book" w:cstheme="minorHAnsi"/>
          <w:iCs/>
          <w:sz w:val="22"/>
          <w:szCs w:val="22"/>
        </w:rPr>
        <w:t>change tumour classification/grading and exclude</w:t>
      </w:r>
      <w:r w:rsidR="00BF4A0B">
        <w:rPr>
          <w:rFonts w:ascii="Franklin Gothic Book" w:hAnsi="Franklin Gothic Book" w:cstheme="minorHAnsi"/>
          <w:iCs/>
          <w:sz w:val="22"/>
          <w:szCs w:val="22"/>
        </w:rPr>
        <w:t>,</w:t>
      </w:r>
      <w:r w:rsidRPr="000A1D4E">
        <w:rPr>
          <w:rFonts w:ascii="Franklin Gothic Book" w:hAnsi="Franklin Gothic Book" w:cstheme="minorHAnsi"/>
          <w:iCs/>
          <w:sz w:val="22"/>
          <w:szCs w:val="22"/>
        </w:rPr>
        <w:t xml:space="preserve"> confirm</w:t>
      </w:r>
      <w:r w:rsidR="00BF4A0B">
        <w:rPr>
          <w:rFonts w:ascii="Franklin Gothic Book" w:hAnsi="Franklin Gothic Book" w:cstheme="minorHAnsi"/>
          <w:iCs/>
          <w:sz w:val="22"/>
          <w:szCs w:val="22"/>
        </w:rPr>
        <w:t xml:space="preserve"> or refine the</w:t>
      </w:r>
      <w:r w:rsidRPr="000A1D4E">
        <w:rPr>
          <w:rFonts w:ascii="Franklin Gothic Book" w:hAnsi="Franklin Gothic Book" w:cstheme="minorHAnsi"/>
          <w:iCs/>
          <w:sz w:val="22"/>
          <w:szCs w:val="22"/>
        </w:rPr>
        <w:t xml:space="preserve"> </w:t>
      </w:r>
      <w:r w:rsidR="007734B0">
        <w:rPr>
          <w:rFonts w:ascii="Franklin Gothic Book" w:hAnsi="Franklin Gothic Book" w:cstheme="minorHAnsi"/>
          <w:iCs/>
          <w:sz w:val="22"/>
          <w:szCs w:val="22"/>
        </w:rPr>
        <w:t>initial</w:t>
      </w:r>
      <w:r w:rsidR="00BF4A0B">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diagnos</w:t>
      </w:r>
      <w:r w:rsidR="00BF4A0B">
        <w:rPr>
          <w:rFonts w:ascii="Franklin Gothic Book" w:hAnsi="Franklin Gothic Book" w:cstheme="minorHAnsi"/>
          <w:iCs/>
          <w:sz w:val="22"/>
          <w:szCs w:val="22"/>
        </w:rPr>
        <w:t>i</w:t>
      </w:r>
      <w:r w:rsidRPr="000A1D4E">
        <w:rPr>
          <w:rFonts w:ascii="Franklin Gothic Book" w:hAnsi="Franklin Gothic Book" w:cstheme="minorHAnsi"/>
          <w:iCs/>
          <w:sz w:val="22"/>
          <w:szCs w:val="22"/>
        </w:rPr>
        <w:t xml:space="preserve">s. MSAC noted that the yields </w:t>
      </w:r>
      <w:r w:rsidR="007734B0">
        <w:rPr>
          <w:rFonts w:ascii="Franklin Gothic Book" w:hAnsi="Franklin Gothic Book" w:cstheme="minorHAnsi"/>
          <w:iCs/>
          <w:sz w:val="22"/>
          <w:szCs w:val="22"/>
        </w:rPr>
        <w:t xml:space="preserve">for various measures of effectiveness </w:t>
      </w:r>
      <w:r w:rsidRPr="000A1D4E">
        <w:rPr>
          <w:rFonts w:ascii="Franklin Gothic Book" w:hAnsi="Franklin Gothic Book" w:cstheme="minorHAnsi"/>
          <w:iCs/>
          <w:sz w:val="22"/>
          <w:szCs w:val="22"/>
        </w:rPr>
        <w:t xml:space="preserve">ranged from 21% to 80% of patients. MSAC </w:t>
      </w:r>
      <w:r w:rsidR="007734B0">
        <w:rPr>
          <w:rFonts w:ascii="Franklin Gothic Book" w:hAnsi="Franklin Gothic Book" w:cstheme="minorHAnsi"/>
          <w:iCs/>
          <w:sz w:val="22"/>
          <w:szCs w:val="22"/>
        </w:rPr>
        <w:t>considered</w:t>
      </w:r>
      <w:r w:rsidR="007734B0"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that </w:t>
      </w:r>
      <w:r w:rsidR="007734B0">
        <w:rPr>
          <w:rFonts w:ascii="Franklin Gothic Book" w:hAnsi="Franklin Gothic Book" w:cstheme="minorHAnsi"/>
          <w:iCs/>
          <w:sz w:val="22"/>
          <w:szCs w:val="22"/>
        </w:rPr>
        <w:t>supporting this testing</w:t>
      </w:r>
      <w:r w:rsidR="007734B0" w:rsidRPr="000A1D4E">
        <w:rPr>
          <w:rFonts w:ascii="Franklin Gothic Book" w:hAnsi="Franklin Gothic Book" w:cstheme="minorHAnsi"/>
          <w:iCs/>
          <w:sz w:val="22"/>
          <w:szCs w:val="22"/>
        </w:rPr>
        <w:t xml:space="preserve"> </w:t>
      </w:r>
      <w:r w:rsidR="007734B0">
        <w:rPr>
          <w:rFonts w:ascii="Franklin Gothic Book" w:hAnsi="Franklin Gothic Book" w:cstheme="minorHAnsi"/>
          <w:iCs/>
          <w:sz w:val="22"/>
          <w:szCs w:val="22"/>
        </w:rPr>
        <w:t xml:space="preserve">may </w:t>
      </w:r>
      <w:r w:rsidRPr="000A1D4E">
        <w:rPr>
          <w:rFonts w:ascii="Franklin Gothic Book" w:hAnsi="Franklin Gothic Book" w:cstheme="minorHAnsi"/>
          <w:iCs/>
          <w:sz w:val="22"/>
          <w:szCs w:val="22"/>
        </w:rPr>
        <w:t xml:space="preserve">also </w:t>
      </w:r>
      <w:r w:rsidR="007734B0">
        <w:rPr>
          <w:rFonts w:ascii="Franklin Gothic Book" w:hAnsi="Franklin Gothic Book" w:cstheme="minorHAnsi"/>
          <w:iCs/>
          <w:sz w:val="22"/>
          <w:szCs w:val="22"/>
        </w:rPr>
        <w:t>assist in the Pharmaceutical Benefits Advisory Committee (PBAC)’s consideration of future codependent applications for PBS listing of glioma medicines, if the associated test to establish eligibility were already funded on the MBS on this panel</w:t>
      </w:r>
      <w:r w:rsidRPr="000A1D4E">
        <w:rPr>
          <w:rFonts w:ascii="Franklin Gothic Book" w:hAnsi="Franklin Gothic Book" w:cstheme="minorHAnsi"/>
          <w:iCs/>
          <w:sz w:val="22"/>
          <w:szCs w:val="22"/>
        </w:rPr>
        <w:t xml:space="preserve">. MSAC </w:t>
      </w:r>
      <w:r w:rsidR="007734B0">
        <w:rPr>
          <w:rFonts w:ascii="Franklin Gothic Book" w:hAnsi="Franklin Gothic Book" w:cstheme="minorHAnsi"/>
          <w:iCs/>
          <w:sz w:val="22"/>
          <w:szCs w:val="22"/>
        </w:rPr>
        <w:t xml:space="preserve">considered that establishing eligibility for entry into clinical trials is not an </w:t>
      </w:r>
      <w:r w:rsidR="002A5B97">
        <w:rPr>
          <w:rFonts w:ascii="Franklin Gothic Book" w:hAnsi="Franklin Gothic Book" w:cstheme="minorHAnsi"/>
          <w:iCs/>
          <w:sz w:val="22"/>
          <w:szCs w:val="22"/>
        </w:rPr>
        <w:t>appropriate</w:t>
      </w:r>
      <w:r w:rsidR="007734B0">
        <w:rPr>
          <w:rFonts w:ascii="Franklin Gothic Book" w:hAnsi="Franklin Gothic Book" w:cstheme="minorHAnsi"/>
          <w:iCs/>
          <w:sz w:val="22"/>
          <w:szCs w:val="22"/>
        </w:rPr>
        <w:t xml:space="preserve"> primary purpose of MBS</w:t>
      </w:r>
      <w:r w:rsidR="002A5B97">
        <w:rPr>
          <w:rFonts w:ascii="Franklin Gothic Book" w:hAnsi="Franklin Gothic Book" w:cstheme="minorHAnsi"/>
          <w:iCs/>
          <w:sz w:val="22"/>
          <w:szCs w:val="22"/>
        </w:rPr>
        <w:t>-</w:t>
      </w:r>
      <w:r w:rsidR="007734B0">
        <w:rPr>
          <w:rFonts w:ascii="Franklin Gothic Book" w:hAnsi="Franklin Gothic Book" w:cstheme="minorHAnsi"/>
          <w:iCs/>
          <w:sz w:val="22"/>
          <w:szCs w:val="22"/>
        </w:rPr>
        <w:t>funded testing, and advised</w:t>
      </w:r>
      <w:r w:rsidRPr="000A1D4E">
        <w:rPr>
          <w:rFonts w:ascii="Franklin Gothic Book" w:hAnsi="Franklin Gothic Book" w:cstheme="minorHAnsi"/>
          <w:iCs/>
          <w:sz w:val="22"/>
          <w:szCs w:val="22"/>
        </w:rPr>
        <w:t xml:space="preserve"> </w:t>
      </w:r>
      <w:r w:rsidR="000A0CA5">
        <w:rPr>
          <w:rFonts w:ascii="Franklin Gothic Book" w:hAnsi="Franklin Gothic Book" w:cstheme="minorHAnsi"/>
          <w:iCs/>
          <w:sz w:val="22"/>
          <w:szCs w:val="22"/>
        </w:rPr>
        <w:t>testing</w:t>
      </w:r>
      <w:r w:rsidRPr="000A1D4E">
        <w:rPr>
          <w:rFonts w:ascii="Franklin Gothic Book" w:hAnsi="Franklin Gothic Book" w:cstheme="minorHAnsi"/>
          <w:iCs/>
          <w:sz w:val="22"/>
          <w:szCs w:val="22"/>
        </w:rPr>
        <w:t xml:space="preserve"> </w:t>
      </w:r>
      <w:r w:rsidR="002A5B97">
        <w:rPr>
          <w:rFonts w:ascii="Franklin Gothic Book" w:hAnsi="Franklin Gothic Book" w:cstheme="minorHAnsi"/>
          <w:iCs/>
          <w:sz w:val="22"/>
          <w:szCs w:val="22"/>
        </w:rPr>
        <w:t xml:space="preserve">for the primary purpose of clinical trial entry </w:t>
      </w:r>
      <w:r w:rsidRPr="000A1D4E">
        <w:rPr>
          <w:rFonts w:ascii="Franklin Gothic Book" w:hAnsi="Franklin Gothic Book" w:cstheme="minorHAnsi"/>
          <w:iCs/>
          <w:sz w:val="22"/>
          <w:szCs w:val="22"/>
        </w:rPr>
        <w:t xml:space="preserve">would be more appropriately funded </w:t>
      </w:r>
      <w:r w:rsidR="002A5B97">
        <w:rPr>
          <w:rFonts w:ascii="Franklin Gothic Book" w:hAnsi="Franklin Gothic Book" w:cstheme="minorHAnsi"/>
          <w:iCs/>
          <w:sz w:val="22"/>
          <w:szCs w:val="22"/>
        </w:rPr>
        <w:t>through</w:t>
      </w:r>
      <w:r w:rsidR="002A5B97"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other mechanisms.</w:t>
      </w:r>
    </w:p>
    <w:p w14:paraId="7C7ED069" w14:textId="21F1D3E2"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w:t>
      </w:r>
      <w:r w:rsidR="001752AA">
        <w:rPr>
          <w:rFonts w:ascii="Franklin Gothic Book" w:hAnsi="Franklin Gothic Book" w:cstheme="minorHAnsi"/>
          <w:iCs/>
          <w:sz w:val="22"/>
          <w:szCs w:val="22"/>
        </w:rPr>
        <w:t>considered</w:t>
      </w:r>
      <w:r w:rsidR="001752AA"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the proposed glioma panel</w:t>
      </w:r>
      <w:r w:rsidR="001752AA">
        <w:rPr>
          <w:rFonts w:ascii="Franklin Gothic Book" w:hAnsi="Franklin Gothic Book" w:cstheme="minorHAnsi"/>
          <w:iCs/>
          <w:sz w:val="22"/>
          <w:szCs w:val="22"/>
        </w:rPr>
        <w:t xml:space="preserve"> to have superior effectiveness and non-inferior safety</w:t>
      </w:r>
      <w:r w:rsidRPr="000A1D4E">
        <w:rPr>
          <w:rFonts w:ascii="Franklin Gothic Book" w:hAnsi="Franklin Gothic Book" w:cstheme="minorHAnsi"/>
          <w:iCs/>
          <w:sz w:val="22"/>
          <w:szCs w:val="22"/>
        </w:rPr>
        <w:t xml:space="preserve">, as it is faster, uses less tumour tissue, </w:t>
      </w:r>
      <w:r w:rsidR="00A2660A">
        <w:rPr>
          <w:rFonts w:ascii="Franklin Gothic Book" w:hAnsi="Franklin Gothic Book" w:cstheme="minorHAnsi"/>
          <w:iCs/>
          <w:sz w:val="22"/>
          <w:szCs w:val="22"/>
        </w:rPr>
        <w:t xml:space="preserve">and </w:t>
      </w:r>
      <w:r w:rsidRPr="000A1D4E">
        <w:rPr>
          <w:rFonts w:ascii="Franklin Gothic Book" w:hAnsi="Franklin Gothic Book" w:cstheme="minorHAnsi"/>
          <w:iCs/>
          <w:sz w:val="22"/>
          <w:szCs w:val="22"/>
        </w:rPr>
        <w:t xml:space="preserve">usually provides a more precise diagnosis and </w:t>
      </w:r>
      <w:r w:rsidR="00B348CE">
        <w:rPr>
          <w:rFonts w:ascii="Franklin Gothic Book" w:hAnsi="Franklin Gothic Book" w:cstheme="minorHAnsi"/>
          <w:iCs/>
          <w:sz w:val="22"/>
          <w:szCs w:val="22"/>
        </w:rPr>
        <w:t xml:space="preserve">may </w:t>
      </w:r>
      <w:r w:rsidRPr="000A1D4E">
        <w:rPr>
          <w:rFonts w:ascii="Franklin Gothic Book" w:hAnsi="Franklin Gothic Book" w:cstheme="minorHAnsi"/>
          <w:iCs/>
          <w:sz w:val="22"/>
          <w:szCs w:val="22"/>
        </w:rPr>
        <w:t>identif</w:t>
      </w:r>
      <w:r w:rsidR="00B348CE">
        <w:rPr>
          <w:rFonts w:ascii="Franklin Gothic Book" w:hAnsi="Franklin Gothic Book" w:cstheme="minorHAnsi"/>
          <w:iCs/>
          <w:sz w:val="22"/>
          <w:szCs w:val="22"/>
        </w:rPr>
        <w:t>y</w:t>
      </w:r>
      <w:r w:rsidRPr="000A1D4E">
        <w:rPr>
          <w:rFonts w:ascii="Franklin Gothic Book" w:hAnsi="Franklin Gothic Book" w:cstheme="minorHAnsi"/>
          <w:iCs/>
          <w:sz w:val="22"/>
          <w:szCs w:val="22"/>
        </w:rPr>
        <w:t xml:space="preserve"> more </w:t>
      </w:r>
      <w:r w:rsidR="00DD013A">
        <w:rPr>
          <w:rFonts w:ascii="Franklin Gothic Book" w:hAnsi="Franklin Gothic Book" w:cstheme="minorHAnsi"/>
          <w:iCs/>
          <w:sz w:val="22"/>
          <w:szCs w:val="22"/>
        </w:rPr>
        <w:t>predictive</w:t>
      </w:r>
      <w:r w:rsidR="00DD013A"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targets than sequential single gene assays. </w:t>
      </w:r>
    </w:p>
    <w:p w14:paraId="147A7581" w14:textId="4DE70645" w:rsidR="00DD013A"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that </w:t>
      </w:r>
      <w:r w:rsidR="00DD013A">
        <w:rPr>
          <w:rFonts w:ascii="Franklin Gothic Book" w:hAnsi="Franklin Gothic Book" w:cstheme="minorHAnsi"/>
          <w:iCs/>
          <w:sz w:val="22"/>
          <w:szCs w:val="22"/>
        </w:rPr>
        <w:t xml:space="preserve">cost-effectiveness analyses </w:t>
      </w:r>
      <w:r w:rsidR="00A8233C">
        <w:rPr>
          <w:rFonts w:ascii="Franklin Gothic Book" w:hAnsi="Franklin Gothic Book" w:cstheme="minorHAnsi"/>
          <w:iCs/>
          <w:sz w:val="22"/>
          <w:szCs w:val="22"/>
        </w:rPr>
        <w:t xml:space="preserve">were presented </w:t>
      </w:r>
      <w:r w:rsidR="00DD013A">
        <w:rPr>
          <w:rFonts w:ascii="Franklin Gothic Book" w:hAnsi="Franklin Gothic Book" w:cstheme="minorHAnsi"/>
          <w:iCs/>
          <w:sz w:val="22"/>
          <w:szCs w:val="22"/>
        </w:rPr>
        <w:t>with effectiveness expressed in terms of incremental cost per patient who received a result that:</w:t>
      </w:r>
    </w:p>
    <w:p w14:paraId="75F3E596" w14:textId="632C7BB1" w:rsidR="00AE4007" w:rsidRDefault="00AE4007" w:rsidP="00DD013A">
      <w:pPr>
        <w:pStyle w:val="ListParagraph"/>
        <w:numPr>
          <w:ilvl w:val="0"/>
          <w:numId w:val="32"/>
        </w:numPr>
        <w:spacing w:after="240"/>
        <w:jc w:val="both"/>
        <w:rPr>
          <w:rFonts w:cstheme="minorHAnsi"/>
          <w:iCs/>
        </w:rPr>
      </w:pPr>
      <w:r>
        <w:rPr>
          <w:rFonts w:cstheme="minorHAnsi"/>
          <w:iCs/>
        </w:rPr>
        <w:t>Altered diagnosis (added by MSAC)</w:t>
      </w:r>
    </w:p>
    <w:p w14:paraId="33C6D9B3" w14:textId="7A179674" w:rsidR="00DD013A" w:rsidRDefault="00DD013A" w:rsidP="00DD013A">
      <w:pPr>
        <w:pStyle w:val="ListParagraph"/>
        <w:numPr>
          <w:ilvl w:val="0"/>
          <w:numId w:val="32"/>
        </w:numPr>
        <w:spacing w:after="240"/>
        <w:jc w:val="both"/>
        <w:rPr>
          <w:rFonts w:cstheme="minorHAnsi"/>
          <w:iCs/>
        </w:rPr>
      </w:pPr>
      <w:r>
        <w:rPr>
          <w:rFonts w:cstheme="minorHAnsi"/>
          <w:iCs/>
        </w:rPr>
        <w:t>Altered diagnosis or prognosis</w:t>
      </w:r>
    </w:p>
    <w:p w14:paraId="3A91EBC6" w14:textId="735BD035" w:rsidR="00DD013A" w:rsidRDefault="00DD013A" w:rsidP="00DD013A">
      <w:pPr>
        <w:pStyle w:val="ListParagraph"/>
        <w:numPr>
          <w:ilvl w:val="0"/>
          <w:numId w:val="32"/>
        </w:numPr>
        <w:spacing w:after="240"/>
        <w:jc w:val="both"/>
        <w:rPr>
          <w:rFonts w:cstheme="minorHAnsi"/>
          <w:iCs/>
        </w:rPr>
      </w:pPr>
      <w:r>
        <w:rPr>
          <w:rFonts w:cstheme="minorHAnsi"/>
          <w:iCs/>
        </w:rPr>
        <w:t>Altered or refined diagnosis, or altered prognosis</w:t>
      </w:r>
    </w:p>
    <w:p w14:paraId="244F77B8" w14:textId="4284D8CE" w:rsidR="00DD013A" w:rsidRDefault="00DD013A" w:rsidP="00DD013A">
      <w:pPr>
        <w:pStyle w:val="ListParagraph"/>
        <w:numPr>
          <w:ilvl w:val="0"/>
          <w:numId w:val="32"/>
        </w:numPr>
        <w:spacing w:after="240"/>
        <w:jc w:val="both"/>
        <w:rPr>
          <w:rFonts w:cstheme="minorHAnsi"/>
          <w:iCs/>
        </w:rPr>
      </w:pPr>
      <w:r>
        <w:rPr>
          <w:rFonts w:cstheme="minorHAnsi"/>
          <w:iCs/>
        </w:rPr>
        <w:t>Altered or refined diagnosis, altered prognosis, or identified a potential predictive target</w:t>
      </w:r>
    </w:p>
    <w:p w14:paraId="7D7E3CCF" w14:textId="7CD0A262" w:rsidR="00AE4007" w:rsidRPr="00DD013A" w:rsidRDefault="00AE4007" w:rsidP="00920FEB">
      <w:pPr>
        <w:pStyle w:val="ListParagraph"/>
        <w:numPr>
          <w:ilvl w:val="0"/>
          <w:numId w:val="32"/>
        </w:numPr>
        <w:spacing w:after="240"/>
        <w:jc w:val="both"/>
        <w:rPr>
          <w:rFonts w:cstheme="minorHAnsi"/>
          <w:iCs/>
        </w:rPr>
      </w:pPr>
      <w:r>
        <w:rPr>
          <w:rFonts w:cstheme="minorHAnsi"/>
          <w:iCs/>
        </w:rPr>
        <w:lastRenderedPageBreak/>
        <w:t>Altered diagnosis or prognosis, refined or confirmed diagnosis per WHO CNS5, or identified a potential predictive target</w:t>
      </w:r>
    </w:p>
    <w:p w14:paraId="261BC5EE" w14:textId="0F665295" w:rsidR="001752AA" w:rsidRDefault="00A8233C" w:rsidP="000A1D4E">
      <w:pPr>
        <w:spacing w:after="240"/>
        <w:jc w:val="both"/>
        <w:rPr>
          <w:rFonts w:ascii="Franklin Gothic Book" w:hAnsi="Franklin Gothic Book" w:cstheme="minorHAnsi"/>
          <w:iCs/>
          <w:sz w:val="22"/>
          <w:szCs w:val="22"/>
        </w:rPr>
      </w:pPr>
      <w:r>
        <w:rPr>
          <w:rFonts w:ascii="Franklin Gothic Book" w:hAnsi="Franklin Gothic Book" w:cstheme="minorHAnsi"/>
          <w:iCs/>
          <w:sz w:val="22"/>
          <w:szCs w:val="22"/>
        </w:rPr>
        <w:t>MSAC noted the resulting ICERs ranged from $2,609 per patient with altered diagnosis, to $68</w:t>
      </w:r>
      <w:r w:rsidR="00114E81">
        <w:rPr>
          <w:rFonts w:ascii="Franklin Gothic Book" w:hAnsi="Franklin Gothic Book" w:cstheme="minorHAnsi"/>
          <w:iCs/>
          <w:sz w:val="22"/>
          <w:szCs w:val="22"/>
        </w:rPr>
        <w:t>7</w:t>
      </w:r>
      <w:r>
        <w:rPr>
          <w:rFonts w:ascii="Franklin Gothic Book" w:hAnsi="Franklin Gothic Book" w:cstheme="minorHAnsi"/>
          <w:iCs/>
          <w:sz w:val="22"/>
          <w:szCs w:val="22"/>
        </w:rPr>
        <w:t xml:space="preserve"> per patient with a</w:t>
      </w:r>
      <w:r w:rsidRPr="00A8233C">
        <w:rPr>
          <w:rFonts w:ascii="Franklin Gothic Book" w:hAnsi="Franklin Gothic Book" w:cstheme="minorHAnsi"/>
          <w:iCs/>
          <w:sz w:val="22"/>
          <w:szCs w:val="22"/>
        </w:rPr>
        <w:t>ltered diagnosis or prognosis, refined or confirmed diagnosis per WHO CNS5, or identified a potential predictive target</w:t>
      </w:r>
      <w:r>
        <w:rPr>
          <w:rFonts w:ascii="Franklin Gothic Book" w:hAnsi="Franklin Gothic Book" w:cstheme="minorHAnsi"/>
          <w:iCs/>
          <w:sz w:val="22"/>
          <w:szCs w:val="22"/>
        </w:rPr>
        <w:t xml:space="preserve">. </w:t>
      </w:r>
      <w:r w:rsidR="00DD013A">
        <w:rPr>
          <w:rFonts w:ascii="Franklin Gothic Book" w:hAnsi="Franklin Gothic Book" w:cstheme="minorHAnsi"/>
          <w:iCs/>
          <w:sz w:val="22"/>
          <w:szCs w:val="22"/>
        </w:rPr>
        <w:t xml:space="preserve">MSAC considered </w:t>
      </w:r>
      <w:r w:rsidR="000A1D4E" w:rsidRPr="000A1D4E">
        <w:rPr>
          <w:rFonts w:ascii="Franklin Gothic Book" w:hAnsi="Franklin Gothic Book" w:cstheme="minorHAnsi"/>
          <w:iCs/>
          <w:sz w:val="22"/>
          <w:szCs w:val="22"/>
        </w:rPr>
        <w:t xml:space="preserve">the ICERs may overestimate </w:t>
      </w:r>
      <w:r w:rsidR="00AE4007">
        <w:rPr>
          <w:rFonts w:ascii="Franklin Gothic Book" w:hAnsi="Franklin Gothic Book" w:cstheme="minorHAnsi"/>
          <w:iCs/>
          <w:sz w:val="22"/>
          <w:szCs w:val="22"/>
        </w:rPr>
        <w:t>clinical utility</w:t>
      </w:r>
      <w:r w:rsidR="000A1D4E" w:rsidRPr="000A1D4E">
        <w:rPr>
          <w:rFonts w:ascii="Franklin Gothic Book" w:hAnsi="Franklin Gothic Book" w:cstheme="minorHAnsi"/>
          <w:iCs/>
          <w:sz w:val="22"/>
          <w:szCs w:val="22"/>
        </w:rPr>
        <w:t>, as</w:t>
      </w:r>
      <w:r w:rsidR="00AE4007">
        <w:rPr>
          <w:rFonts w:ascii="Franklin Gothic Book" w:hAnsi="Franklin Gothic Book" w:cstheme="minorHAnsi"/>
          <w:iCs/>
          <w:sz w:val="22"/>
          <w:szCs w:val="22"/>
        </w:rPr>
        <w:t xml:space="preserve"> </w:t>
      </w:r>
      <w:r w:rsidR="000A1D4E" w:rsidRPr="000A1D4E">
        <w:rPr>
          <w:rFonts w:ascii="Franklin Gothic Book" w:hAnsi="Franklin Gothic Book" w:cstheme="minorHAnsi"/>
          <w:iCs/>
          <w:sz w:val="22"/>
          <w:szCs w:val="22"/>
        </w:rPr>
        <w:t xml:space="preserve">refining or confirming a diagnosis will </w:t>
      </w:r>
      <w:r w:rsidR="00AE4007">
        <w:rPr>
          <w:rFonts w:ascii="Franklin Gothic Book" w:hAnsi="Franklin Gothic Book" w:cstheme="minorHAnsi"/>
          <w:iCs/>
          <w:sz w:val="22"/>
          <w:szCs w:val="22"/>
        </w:rPr>
        <w:t xml:space="preserve">not always </w:t>
      </w:r>
      <w:r w:rsidR="000A1D4E" w:rsidRPr="000A1D4E">
        <w:rPr>
          <w:rFonts w:ascii="Franklin Gothic Book" w:hAnsi="Franklin Gothic Book" w:cstheme="minorHAnsi"/>
          <w:iCs/>
          <w:sz w:val="22"/>
          <w:szCs w:val="22"/>
        </w:rPr>
        <w:t>result in a change in management</w:t>
      </w:r>
      <w:r>
        <w:rPr>
          <w:rFonts w:ascii="Franklin Gothic Book" w:hAnsi="Franklin Gothic Book" w:cstheme="minorHAnsi"/>
          <w:iCs/>
          <w:sz w:val="22"/>
          <w:szCs w:val="22"/>
        </w:rPr>
        <w:t xml:space="preserve">, and </w:t>
      </w:r>
      <w:r w:rsidR="00114E81">
        <w:rPr>
          <w:rFonts w:ascii="Franklin Gothic Book" w:hAnsi="Franklin Gothic Book" w:cstheme="minorHAnsi"/>
          <w:iCs/>
          <w:sz w:val="22"/>
          <w:szCs w:val="22"/>
        </w:rPr>
        <w:t xml:space="preserve">the benefit of identifying </w:t>
      </w:r>
      <w:r>
        <w:rPr>
          <w:rFonts w:ascii="Franklin Gothic Book" w:hAnsi="Franklin Gothic Book" w:cstheme="minorHAnsi"/>
          <w:iCs/>
          <w:sz w:val="22"/>
          <w:szCs w:val="22"/>
        </w:rPr>
        <w:t xml:space="preserve">potential predictive </w:t>
      </w:r>
      <w:r w:rsidR="00114E81">
        <w:rPr>
          <w:rFonts w:ascii="Franklin Gothic Book" w:hAnsi="Franklin Gothic Book" w:cstheme="minorHAnsi"/>
          <w:iCs/>
          <w:sz w:val="22"/>
          <w:szCs w:val="22"/>
        </w:rPr>
        <w:t>targets</w:t>
      </w:r>
      <w:r w:rsidRPr="00A8233C">
        <w:rPr>
          <w:rFonts w:ascii="Franklin Gothic Book" w:hAnsi="Franklin Gothic Book" w:cstheme="minorHAnsi"/>
          <w:iCs/>
          <w:sz w:val="22"/>
          <w:szCs w:val="22"/>
        </w:rPr>
        <w:t xml:space="preserve"> </w:t>
      </w:r>
      <w:r>
        <w:rPr>
          <w:rFonts w:ascii="Franklin Gothic Book" w:hAnsi="Franklin Gothic Book" w:cstheme="minorHAnsi"/>
          <w:iCs/>
          <w:sz w:val="22"/>
          <w:szCs w:val="22"/>
        </w:rPr>
        <w:t xml:space="preserve">may </w:t>
      </w:r>
      <w:r w:rsidRPr="000A1D4E">
        <w:rPr>
          <w:rFonts w:ascii="Franklin Gothic Book" w:hAnsi="Franklin Gothic Book" w:cstheme="minorHAnsi"/>
          <w:iCs/>
          <w:sz w:val="22"/>
          <w:szCs w:val="22"/>
        </w:rPr>
        <w:t xml:space="preserve">not </w:t>
      </w:r>
      <w:r w:rsidR="00114E81">
        <w:rPr>
          <w:rFonts w:ascii="Franklin Gothic Book" w:hAnsi="Franklin Gothic Book" w:cstheme="minorHAnsi"/>
          <w:iCs/>
          <w:sz w:val="22"/>
          <w:szCs w:val="22"/>
        </w:rPr>
        <w:t>be realised if there are no treatments</w:t>
      </w:r>
      <w:r w:rsidRPr="000A1D4E">
        <w:rPr>
          <w:rFonts w:ascii="Franklin Gothic Book" w:hAnsi="Franklin Gothic Book" w:cstheme="minorHAnsi"/>
          <w:iCs/>
          <w:sz w:val="22"/>
          <w:szCs w:val="22"/>
        </w:rPr>
        <w:t xml:space="preserve"> available</w:t>
      </w:r>
      <w:r w:rsidR="000A1D4E" w:rsidRPr="000A1D4E">
        <w:rPr>
          <w:rFonts w:ascii="Franklin Gothic Book" w:hAnsi="Franklin Gothic Book" w:cstheme="minorHAnsi"/>
          <w:iCs/>
          <w:sz w:val="22"/>
          <w:szCs w:val="22"/>
        </w:rPr>
        <w:t>.</w:t>
      </w:r>
      <w:r w:rsidR="00674247">
        <w:rPr>
          <w:rFonts w:ascii="Franklin Gothic Book" w:hAnsi="Franklin Gothic Book" w:cstheme="minorHAnsi"/>
          <w:iCs/>
          <w:sz w:val="22"/>
          <w:szCs w:val="22"/>
        </w:rPr>
        <w:t xml:space="preserve"> MSAC also considered that the cost of the comparator may have been underestimated as it did not take into account some patients receiving both 1p/19q and </w:t>
      </w:r>
      <w:r w:rsidR="00674247" w:rsidRPr="00674247">
        <w:rPr>
          <w:rFonts w:ascii="Franklin Gothic Book" w:hAnsi="Franklin Gothic Book" w:cstheme="minorHAnsi"/>
          <w:i/>
          <w:sz w:val="22"/>
          <w:szCs w:val="22"/>
        </w:rPr>
        <w:t>IDH1/2</w:t>
      </w:r>
      <w:r w:rsidR="00674247">
        <w:rPr>
          <w:rFonts w:ascii="Franklin Gothic Book" w:hAnsi="Franklin Gothic Book" w:cstheme="minorHAnsi"/>
          <w:iCs/>
          <w:sz w:val="22"/>
          <w:szCs w:val="22"/>
        </w:rPr>
        <w:t xml:space="preserve"> testing at present. Nonetheless, </w:t>
      </w:r>
      <w:r w:rsidR="00674247" w:rsidRPr="000A1D4E">
        <w:rPr>
          <w:rFonts w:ascii="Franklin Gothic Book" w:hAnsi="Franklin Gothic Book" w:cstheme="minorHAnsi"/>
          <w:iCs/>
          <w:sz w:val="22"/>
          <w:szCs w:val="22"/>
        </w:rPr>
        <w:t xml:space="preserve">MSAC </w:t>
      </w:r>
      <w:r w:rsidR="00674247">
        <w:rPr>
          <w:rFonts w:ascii="Franklin Gothic Book" w:hAnsi="Franklin Gothic Book" w:cstheme="minorHAnsi"/>
          <w:iCs/>
          <w:sz w:val="22"/>
          <w:szCs w:val="22"/>
        </w:rPr>
        <w:t>considered</w:t>
      </w:r>
      <w:r w:rsidR="00674247" w:rsidRPr="000A1D4E">
        <w:rPr>
          <w:rFonts w:ascii="Franklin Gothic Book" w:hAnsi="Franklin Gothic Book" w:cstheme="minorHAnsi"/>
          <w:iCs/>
          <w:sz w:val="22"/>
          <w:szCs w:val="22"/>
        </w:rPr>
        <w:t xml:space="preserve"> that these ICERs are within </w:t>
      </w:r>
      <w:r w:rsidR="00674247">
        <w:rPr>
          <w:rFonts w:ascii="Franklin Gothic Book" w:hAnsi="Franklin Gothic Book" w:cstheme="minorHAnsi"/>
          <w:iCs/>
          <w:sz w:val="22"/>
          <w:szCs w:val="22"/>
        </w:rPr>
        <w:t xml:space="preserve">the range of cost-effectiveness in terms of cost per proband identified that it had </w:t>
      </w:r>
      <w:r w:rsidR="00674247" w:rsidRPr="000A1D4E">
        <w:rPr>
          <w:rFonts w:ascii="Franklin Gothic Book" w:hAnsi="Franklin Gothic Book" w:cstheme="minorHAnsi"/>
          <w:iCs/>
          <w:sz w:val="22"/>
          <w:szCs w:val="22"/>
        </w:rPr>
        <w:t xml:space="preserve">previously accepted for </w:t>
      </w:r>
      <w:r w:rsidR="00674247">
        <w:rPr>
          <w:rFonts w:ascii="Franklin Gothic Book" w:hAnsi="Franklin Gothic Book" w:cstheme="minorHAnsi"/>
          <w:iCs/>
          <w:sz w:val="22"/>
          <w:szCs w:val="22"/>
        </w:rPr>
        <w:t>germline</w:t>
      </w:r>
      <w:r w:rsidR="00674247" w:rsidRPr="000A1D4E">
        <w:rPr>
          <w:rFonts w:ascii="Franklin Gothic Book" w:hAnsi="Franklin Gothic Book" w:cstheme="minorHAnsi"/>
          <w:iCs/>
          <w:sz w:val="22"/>
          <w:szCs w:val="22"/>
        </w:rPr>
        <w:t xml:space="preserve"> gene panel testing applications</w:t>
      </w:r>
      <w:r w:rsidR="00674247">
        <w:rPr>
          <w:rFonts w:ascii="Franklin Gothic Book" w:hAnsi="Franklin Gothic Book" w:cstheme="minorHAnsi"/>
          <w:iCs/>
          <w:sz w:val="22"/>
          <w:szCs w:val="22"/>
        </w:rPr>
        <w:t>, and advised that the proposed testing likely represented acceptable cost-effectiveness</w:t>
      </w:r>
      <w:r w:rsidR="00674247" w:rsidRPr="000A1D4E">
        <w:rPr>
          <w:rFonts w:ascii="Franklin Gothic Book" w:hAnsi="Franklin Gothic Book" w:cstheme="minorHAnsi"/>
          <w:iCs/>
          <w:sz w:val="22"/>
          <w:szCs w:val="22"/>
        </w:rPr>
        <w:t>.</w:t>
      </w:r>
    </w:p>
    <w:p w14:paraId="280E574A" w14:textId="29333612"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also noted that the </w:t>
      </w:r>
      <w:r w:rsidR="00AE4007">
        <w:rPr>
          <w:rFonts w:ascii="Franklin Gothic Book" w:hAnsi="Franklin Gothic Book" w:cstheme="minorHAnsi"/>
          <w:iCs/>
          <w:sz w:val="22"/>
          <w:szCs w:val="22"/>
        </w:rPr>
        <w:t xml:space="preserve">DCAR </w:t>
      </w:r>
      <w:r w:rsidR="001752AA">
        <w:rPr>
          <w:rFonts w:ascii="Franklin Gothic Book" w:hAnsi="Franklin Gothic Book" w:cstheme="minorHAnsi"/>
          <w:iCs/>
          <w:sz w:val="22"/>
          <w:szCs w:val="22"/>
        </w:rPr>
        <w:t xml:space="preserve">had </w:t>
      </w:r>
      <w:r w:rsidR="00AE4007">
        <w:rPr>
          <w:rFonts w:ascii="Franklin Gothic Book" w:hAnsi="Franklin Gothic Book" w:cstheme="minorHAnsi"/>
          <w:iCs/>
          <w:sz w:val="22"/>
          <w:szCs w:val="22"/>
        </w:rPr>
        <w:t xml:space="preserve">omitted an assessment of the risk of bias of the included studies, and that </w:t>
      </w:r>
      <w:r w:rsidR="00920FEB">
        <w:rPr>
          <w:rFonts w:ascii="Franklin Gothic Book" w:hAnsi="Franklin Gothic Book" w:cstheme="minorHAnsi"/>
          <w:iCs/>
          <w:sz w:val="22"/>
          <w:szCs w:val="22"/>
        </w:rPr>
        <w:t xml:space="preserve">a key study used in </w:t>
      </w:r>
      <w:r w:rsidR="00AE4007">
        <w:rPr>
          <w:rFonts w:ascii="Franklin Gothic Book" w:hAnsi="Franklin Gothic Book" w:cstheme="minorHAnsi"/>
          <w:iCs/>
          <w:sz w:val="22"/>
          <w:szCs w:val="22"/>
        </w:rPr>
        <w:t>the</w:t>
      </w:r>
      <w:r w:rsidRPr="000A1D4E">
        <w:rPr>
          <w:rFonts w:ascii="Franklin Gothic Book" w:hAnsi="Franklin Gothic Book" w:cstheme="minorHAnsi"/>
          <w:iCs/>
          <w:sz w:val="22"/>
          <w:szCs w:val="22"/>
        </w:rPr>
        <w:t xml:space="preserve"> evidence base</w:t>
      </w:r>
      <w:r w:rsidR="00920FEB">
        <w:rPr>
          <w:rFonts w:ascii="Franklin Gothic Book" w:hAnsi="Franklin Gothic Book" w:cstheme="minorHAnsi"/>
          <w:iCs/>
          <w:sz w:val="22"/>
          <w:szCs w:val="22"/>
        </w:rPr>
        <w:t>, Cheung et al,</w:t>
      </w:r>
      <w:r w:rsidRPr="000A1D4E">
        <w:rPr>
          <w:rFonts w:ascii="Franklin Gothic Book" w:hAnsi="Franklin Gothic Book" w:cstheme="minorHAnsi"/>
          <w:iCs/>
          <w:sz w:val="22"/>
          <w:szCs w:val="22"/>
        </w:rPr>
        <w:t xml:space="preserve"> was published as a </w:t>
      </w:r>
      <w:r w:rsidR="00920FEB">
        <w:rPr>
          <w:rFonts w:ascii="Franklin Gothic Book" w:hAnsi="Franklin Gothic Book" w:cstheme="minorHAnsi"/>
          <w:iCs/>
          <w:sz w:val="22"/>
          <w:szCs w:val="22"/>
        </w:rPr>
        <w:t>l</w:t>
      </w:r>
      <w:r w:rsidRPr="000A1D4E">
        <w:rPr>
          <w:rFonts w:ascii="Franklin Gothic Book" w:hAnsi="Franklin Gothic Book" w:cstheme="minorHAnsi"/>
          <w:iCs/>
          <w:sz w:val="22"/>
          <w:szCs w:val="22"/>
        </w:rPr>
        <w:t xml:space="preserve">etter, which MSAC does not </w:t>
      </w:r>
      <w:r w:rsidR="00920FEB">
        <w:rPr>
          <w:rFonts w:ascii="Franklin Gothic Book" w:hAnsi="Franklin Gothic Book" w:cstheme="minorHAnsi"/>
          <w:iCs/>
          <w:sz w:val="22"/>
          <w:szCs w:val="22"/>
        </w:rPr>
        <w:t>typically</w:t>
      </w:r>
      <w:r w:rsidR="00920FEB"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accept.</w:t>
      </w:r>
    </w:p>
    <w:p w14:paraId="6EFE77A8" w14:textId="2CAE20B7"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MSAC noted the</w:t>
      </w:r>
      <w:r w:rsidR="00BA545D">
        <w:rPr>
          <w:rFonts w:ascii="Franklin Gothic Book" w:hAnsi="Franklin Gothic Book" w:cstheme="minorHAnsi"/>
          <w:iCs/>
          <w:sz w:val="22"/>
          <w:szCs w:val="22"/>
        </w:rPr>
        <w:t xml:space="preserve"> DCAR had used an epidemiological approach to estimate 1,0</w:t>
      </w:r>
      <w:r w:rsidR="00540DA6">
        <w:rPr>
          <w:rFonts w:ascii="Franklin Gothic Book" w:hAnsi="Franklin Gothic Book" w:cstheme="minorHAnsi"/>
          <w:iCs/>
          <w:sz w:val="22"/>
          <w:szCs w:val="22"/>
        </w:rPr>
        <w:t>7</w:t>
      </w:r>
      <w:r w:rsidR="00BA545D">
        <w:rPr>
          <w:rFonts w:ascii="Franklin Gothic Book" w:hAnsi="Franklin Gothic Book" w:cstheme="minorHAnsi"/>
          <w:iCs/>
          <w:sz w:val="22"/>
          <w:szCs w:val="22"/>
        </w:rPr>
        <w:t xml:space="preserve">0 services </w:t>
      </w:r>
      <w:r w:rsidR="00540DA6">
        <w:rPr>
          <w:rFonts w:ascii="Franklin Gothic Book" w:hAnsi="Franklin Gothic Book" w:cstheme="minorHAnsi"/>
          <w:iCs/>
          <w:sz w:val="22"/>
          <w:szCs w:val="22"/>
        </w:rPr>
        <w:t>in the first</w:t>
      </w:r>
      <w:r w:rsidR="00BA545D">
        <w:rPr>
          <w:rFonts w:ascii="Franklin Gothic Book" w:hAnsi="Franklin Gothic Book" w:cstheme="minorHAnsi"/>
          <w:iCs/>
          <w:sz w:val="22"/>
          <w:szCs w:val="22"/>
        </w:rPr>
        <w:t xml:space="preserve"> year, and that the applicant’s expert had advised </w:t>
      </w:r>
      <w:r w:rsidR="00A8233C">
        <w:rPr>
          <w:rFonts w:ascii="Franklin Gothic Book" w:hAnsi="Franklin Gothic Book" w:cstheme="minorHAnsi"/>
          <w:iCs/>
          <w:sz w:val="22"/>
          <w:szCs w:val="22"/>
        </w:rPr>
        <w:t>the NSW and WA</w:t>
      </w:r>
      <w:r w:rsidRPr="000A1D4E">
        <w:rPr>
          <w:rFonts w:ascii="Franklin Gothic Book" w:hAnsi="Franklin Gothic Book" w:cstheme="minorHAnsi"/>
          <w:iCs/>
          <w:sz w:val="22"/>
          <w:szCs w:val="22"/>
        </w:rPr>
        <w:t xml:space="preserve"> Centres of Excellence </w:t>
      </w:r>
      <w:r w:rsidR="00540DA6">
        <w:rPr>
          <w:rFonts w:ascii="Franklin Gothic Book" w:hAnsi="Franklin Gothic Book" w:cstheme="minorHAnsi"/>
          <w:iCs/>
          <w:sz w:val="22"/>
          <w:szCs w:val="22"/>
        </w:rPr>
        <w:t>provided</w:t>
      </w:r>
      <w:r w:rsidR="00BC2276">
        <w:rPr>
          <w:rFonts w:ascii="Franklin Gothic Book" w:hAnsi="Franklin Gothic Book" w:cstheme="minorHAnsi"/>
          <w:iCs/>
          <w:sz w:val="22"/>
          <w:szCs w:val="22"/>
        </w:rPr>
        <w:t xml:space="preserve"> 659 </w:t>
      </w:r>
      <w:r w:rsidR="00540DA6">
        <w:rPr>
          <w:rFonts w:ascii="Franklin Gothic Book" w:hAnsi="Franklin Gothic Book" w:cstheme="minorHAnsi"/>
          <w:iCs/>
          <w:sz w:val="22"/>
          <w:szCs w:val="22"/>
        </w:rPr>
        <w:t xml:space="preserve">glioma panel </w:t>
      </w:r>
      <w:r w:rsidR="00BC2276">
        <w:rPr>
          <w:rFonts w:ascii="Franklin Gothic Book" w:hAnsi="Franklin Gothic Book" w:cstheme="minorHAnsi"/>
          <w:iCs/>
          <w:sz w:val="22"/>
          <w:szCs w:val="22"/>
        </w:rPr>
        <w:t xml:space="preserve">services </w:t>
      </w:r>
      <w:r w:rsidR="00540DA6">
        <w:rPr>
          <w:rFonts w:ascii="Franklin Gothic Book" w:hAnsi="Franklin Gothic Book" w:cstheme="minorHAnsi"/>
          <w:iCs/>
          <w:sz w:val="22"/>
          <w:szCs w:val="22"/>
        </w:rPr>
        <w:t>in</w:t>
      </w:r>
      <w:r w:rsidR="00BC2276">
        <w:rPr>
          <w:rFonts w:ascii="Franklin Gothic Book" w:hAnsi="Franklin Gothic Book" w:cstheme="minorHAnsi"/>
          <w:iCs/>
          <w:sz w:val="22"/>
          <w:szCs w:val="22"/>
        </w:rPr>
        <w:t xml:space="preserve"> </w:t>
      </w:r>
      <w:r w:rsidR="00540DA6">
        <w:rPr>
          <w:rFonts w:ascii="Franklin Gothic Book" w:hAnsi="Franklin Gothic Book" w:cstheme="minorHAnsi"/>
          <w:iCs/>
          <w:sz w:val="22"/>
          <w:szCs w:val="22"/>
        </w:rPr>
        <w:t>2021</w:t>
      </w:r>
      <w:r w:rsidR="00BC2276">
        <w:rPr>
          <w:rFonts w:ascii="Franklin Gothic Book" w:hAnsi="Franklin Gothic Book" w:cstheme="minorHAnsi"/>
          <w:iCs/>
          <w:sz w:val="22"/>
          <w:szCs w:val="22"/>
        </w:rPr>
        <w:t xml:space="preserve">. MSAC </w:t>
      </w:r>
      <w:r w:rsidR="003B72B7">
        <w:rPr>
          <w:rFonts w:ascii="Franklin Gothic Book" w:hAnsi="Franklin Gothic Book" w:cstheme="minorHAnsi"/>
          <w:iCs/>
          <w:sz w:val="22"/>
          <w:szCs w:val="22"/>
        </w:rPr>
        <w:t>agreed with the applicant</w:t>
      </w:r>
      <w:r w:rsidR="00BC2276">
        <w:rPr>
          <w:rFonts w:ascii="Franklin Gothic Book" w:hAnsi="Franklin Gothic Book" w:cstheme="minorHAnsi"/>
          <w:iCs/>
          <w:sz w:val="22"/>
          <w:szCs w:val="22"/>
        </w:rPr>
        <w:t xml:space="preserve"> that 659 may be an underestimate as the Centres of Excellence</w:t>
      </w:r>
      <w:r w:rsidRPr="000A1D4E">
        <w:rPr>
          <w:rFonts w:ascii="Franklin Gothic Book" w:hAnsi="Franklin Gothic Book" w:cstheme="minorHAnsi"/>
          <w:iCs/>
          <w:sz w:val="22"/>
          <w:szCs w:val="22"/>
        </w:rPr>
        <w:t xml:space="preserve"> </w:t>
      </w:r>
      <w:r w:rsidR="00A8233C">
        <w:rPr>
          <w:rFonts w:ascii="Franklin Gothic Book" w:hAnsi="Franklin Gothic Book" w:cstheme="minorHAnsi"/>
          <w:iCs/>
          <w:sz w:val="22"/>
          <w:szCs w:val="22"/>
        </w:rPr>
        <w:t xml:space="preserve">also </w:t>
      </w:r>
      <w:r w:rsidRPr="000A1D4E">
        <w:rPr>
          <w:rFonts w:ascii="Franklin Gothic Book" w:hAnsi="Franklin Gothic Book" w:cstheme="minorHAnsi"/>
          <w:iCs/>
          <w:sz w:val="22"/>
          <w:szCs w:val="22"/>
        </w:rPr>
        <w:t>provide services to Victoria, Queensland, South Australia and New Zealand</w:t>
      </w:r>
      <w:r w:rsidR="00A8233C">
        <w:rPr>
          <w:rFonts w:ascii="Franklin Gothic Book" w:hAnsi="Franklin Gothic Book" w:cstheme="minorHAnsi"/>
          <w:iCs/>
          <w:sz w:val="22"/>
          <w:szCs w:val="22"/>
        </w:rPr>
        <w:t xml:space="preserve">, </w:t>
      </w:r>
      <w:r w:rsidR="00540DA6">
        <w:rPr>
          <w:rFonts w:ascii="Franklin Gothic Book" w:hAnsi="Franklin Gothic Book" w:cstheme="minorHAnsi"/>
          <w:iCs/>
          <w:sz w:val="22"/>
          <w:szCs w:val="22"/>
        </w:rPr>
        <w:t>and that</w:t>
      </w:r>
      <w:r w:rsidRPr="000A1D4E">
        <w:rPr>
          <w:rFonts w:ascii="Franklin Gothic Book" w:hAnsi="Franklin Gothic Book" w:cstheme="minorHAnsi"/>
          <w:iCs/>
          <w:sz w:val="22"/>
          <w:szCs w:val="22"/>
        </w:rPr>
        <w:t xml:space="preserve"> the true </w:t>
      </w:r>
      <w:r w:rsidR="00BA545D">
        <w:rPr>
          <w:rFonts w:ascii="Franklin Gothic Book" w:hAnsi="Franklin Gothic Book" w:cstheme="minorHAnsi"/>
          <w:iCs/>
          <w:sz w:val="22"/>
          <w:szCs w:val="22"/>
        </w:rPr>
        <w:t xml:space="preserve">utilisation </w:t>
      </w:r>
      <w:r w:rsidR="00540DA6">
        <w:rPr>
          <w:rFonts w:ascii="Franklin Gothic Book" w:hAnsi="Franklin Gothic Book" w:cstheme="minorHAnsi"/>
          <w:iCs/>
          <w:sz w:val="22"/>
          <w:szCs w:val="22"/>
        </w:rPr>
        <w:t xml:space="preserve">is </w:t>
      </w:r>
      <w:r w:rsidRPr="000A1D4E">
        <w:rPr>
          <w:rFonts w:ascii="Franklin Gothic Book" w:hAnsi="Franklin Gothic Book" w:cstheme="minorHAnsi"/>
          <w:iCs/>
          <w:sz w:val="22"/>
          <w:szCs w:val="22"/>
        </w:rPr>
        <w:t xml:space="preserve">likely </w:t>
      </w:r>
      <w:r w:rsidR="00BA545D">
        <w:rPr>
          <w:rFonts w:ascii="Franklin Gothic Book" w:hAnsi="Franklin Gothic Book" w:cstheme="minorHAnsi"/>
          <w:iCs/>
          <w:sz w:val="22"/>
          <w:szCs w:val="22"/>
        </w:rPr>
        <w:t xml:space="preserve">to </w:t>
      </w:r>
      <w:r w:rsidRPr="000A1D4E">
        <w:rPr>
          <w:rFonts w:ascii="Franklin Gothic Book" w:hAnsi="Franklin Gothic Book" w:cstheme="minorHAnsi"/>
          <w:iCs/>
          <w:sz w:val="22"/>
          <w:szCs w:val="22"/>
        </w:rPr>
        <w:t>fall in between these two estimates</w:t>
      </w:r>
      <w:r w:rsidR="00BA545D">
        <w:rPr>
          <w:rFonts w:ascii="Franklin Gothic Book" w:hAnsi="Franklin Gothic Book" w:cstheme="minorHAnsi"/>
          <w:iCs/>
          <w:sz w:val="22"/>
          <w:szCs w:val="22"/>
        </w:rPr>
        <w:t>.</w:t>
      </w:r>
      <w:r w:rsidRPr="000A1D4E">
        <w:rPr>
          <w:rFonts w:ascii="Franklin Gothic Book" w:hAnsi="Franklin Gothic Book" w:cstheme="minorHAnsi"/>
          <w:iCs/>
          <w:sz w:val="22"/>
          <w:szCs w:val="22"/>
        </w:rPr>
        <w:t xml:space="preserve"> </w:t>
      </w:r>
      <w:r w:rsidR="00BC2276">
        <w:rPr>
          <w:rFonts w:ascii="Franklin Gothic Book" w:hAnsi="Franklin Gothic Book" w:cstheme="minorHAnsi"/>
          <w:iCs/>
          <w:sz w:val="22"/>
          <w:szCs w:val="22"/>
        </w:rPr>
        <w:t xml:space="preserve">MSAC noted </w:t>
      </w:r>
      <w:r w:rsidR="00540DA6">
        <w:rPr>
          <w:rFonts w:ascii="Franklin Gothic Book" w:hAnsi="Franklin Gothic Book" w:cstheme="minorHAnsi"/>
          <w:iCs/>
          <w:sz w:val="22"/>
          <w:szCs w:val="22"/>
        </w:rPr>
        <w:t xml:space="preserve">that the “people” considered in the utilisation estimates appears to include adults, adolescents and children, though the DCAR did not explicitly state this. </w:t>
      </w:r>
      <w:r w:rsidR="00BA545D">
        <w:rPr>
          <w:rFonts w:ascii="Franklin Gothic Book" w:hAnsi="Franklin Gothic Book" w:cstheme="minorHAnsi"/>
          <w:iCs/>
          <w:sz w:val="22"/>
          <w:szCs w:val="22"/>
        </w:rPr>
        <w:t xml:space="preserve">MSAC considered </w:t>
      </w:r>
      <w:r w:rsidRPr="000A1D4E">
        <w:rPr>
          <w:rFonts w:ascii="Franklin Gothic Book" w:hAnsi="Franklin Gothic Book" w:cstheme="minorHAnsi"/>
          <w:iCs/>
          <w:sz w:val="22"/>
          <w:szCs w:val="22"/>
        </w:rPr>
        <w:t xml:space="preserve">that </w:t>
      </w:r>
      <w:r w:rsidR="009B44CA">
        <w:rPr>
          <w:rFonts w:ascii="Franklin Gothic Book" w:hAnsi="Franklin Gothic Book" w:cstheme="minorHAnsi"/>
          <w:iCs/>
          <w:sz w:val="22"/>
          <w:szCs w:val="22"/>
        </w:rPr>
        <w:t>utilisation outside the intended clinical indication</w:t>
      </w:r>
      <w:r w:rsidRPr="000A1D4E">
        <w:rPr>
          <w:rFonts w:ascii="Franklin Gothic Book" w:hAnsi="Franklin Gothic Book" w:cstheme="minorHAnsi"/>
          <w:iCs/>
          <w:sz w:val="22"/>
          <w:szCs w:val="22"/>
        </w:rPr>
        <w:t xml:space="preserve"> was unlikely</w:t>
      </w:r>
      <w:r w:rsidR="00D93C5E">
        <w:rPr>
          <w:rFonts w:ascii="Franklin Gothic Book" w:hAnsi="Franklin Gothic Book" w:cstheme="minorHAnsi"/>
          <w:iCs/>
          <w:sz w:val="22"/>
          <w:szCs w:val="22"/>
        </w:rPr>
        <w:t xml:space="preserve"> given the </w:t>
      </w:r>
      <w:r w:rsidR="00BC2276">
        <w:rPr>
          <w:rFonts w:ascii="Franklin Gothic Book" w:hAnsi="Franklin Gothic Book" w:cstheme="minorHAnsi"/>
          <w:iCs/>
          <w:sz w:val="22"/>
          <w:szCs w:val="22"/>
        </w:rPr>
        <w:t>well-defined</w:t>
      </w:r>
      <w:r w:rsidR="00BA545D">
        <w:rPr>
          <w:rFonts w:ascii="Franklin Gothic Book" w:hAnsi="Franklin Gothic Book" w:cstheme="minorHAnsi"/>
          <w:iCs/>
          <w:sz w:val="22"/>
          <w:szCs w:val="22"/>
        </w:rPr>
        <w:t xml:space="preserve"> patient population</w:t>
      </w:r>
      <w:r w:rsidRPr="000A1D4E">
        <w:rPr>
          <w:rFonts w:ascii="Franklin Gothic Book" w:hAnsi="Franklin Gothic Book" w:cstheme="minorHAnsi"/>
          <w:iCs/>
          <w:sz w:val="22"/>
          <w:szCs w:val="22"/>
        </w:rPr>
        <w:t>.</w:t>
      </w:r>
    </w:p>
    <w:p w14:paraId="334168D6" w14:textId="2AB681B5"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 xml:space="preserve">MSAC noted the </w:t>
      </w:r>
      <w:r w:rsidR="00BC2276">
        <w:rPr>
          <w:rFonts w:ascii="Franklin Gothic Book" w:hAnsi="Franklin Gothic Book" w:cstheme="minorHAnsi"/>
          <w:iCs/>
          <w:sz w:val="22"/>
          <w:szCs w:val="22"/>
        </w:rPr>
        <w:t xml:space="preserve">rejoinder had provided </w:t>
      </w:r>
      <w:r w:rsidRPr="000A1D4E">
        <w:rPr>
          <w:rFonts w:ascii="Franklin Gothic Book" w:hAnsi="Franklin Gothic Book" w:cstheme="minorHAnsi"/>
          <w:iCs/>
          <w:sz w:val="22"/>
          <w:szCs w:val="22"/>
        </w:rPr>
        <w:t xml:space="preserve">revised </w:t>
      </w:r>
      <w:r w:rsidR="00540DA6">
        <w:rPr>
          <w:rFonts w:ascii="Franklin Gothic Book" w:hAnsi="Franklin Gothic Book" w:cstheme="minorHAnsi"/>
          <w:iCs/>
          <w:sz w:val="22"/>
          <w:szCs w:val="22"/>
        </w:rPr>
        <w:t>financial</w:t>
      </w:r>
      <w:r w:rsidRPr="000A1D4E">
        <w:rPr>
          <w:rFonts w:ascii="Franklin Gothic Book" w:hAnsi="Franklin Gothic Book" w:cstheme="minorHAnsi"/>
          <w:iCs/>
          <w:sz w:val="22"/>
          <w:szCs w:val="22"/>
        </w:rPr>
        <w:t xml:space="preserve"> </w:t>
      </w:r>
      <w:r w:rsidR="00BC2276">
        <w:rPr>
          <w:rFonts w:ascii="Franklin Gothic Book" w:hAnsi="Franklin Gothic Book" w:cstheme="minorHAnsi"/>
          <w:iCs/>
          <w:sz w:val="22"/>
          <w:szCs w:val="22"/>
        </w:rPr>
        <w:t xml:space="preserve">analyses based on the pre-MSAC response confirmation that the 85% fee was proposed to be $800. MSAC noted the estimated </w:t>
      </w:r>
      <w:r w:rsidR="00540DA6">
        <w:rPr>
          <w:rFonts w:ascii="Franklin Gothic Book" w:hAnsi="Franklin Gothic Book" w:cstheme="minorHAnsi"/>
          <w:iCs/>
          <w:sz w:val="22"/>
          <w:szCs w:val="22"/>
        </w:rPr>
        <w:t>budget</w:t>
      </w:r>
      <w:r w:rsidR="00BC2276">
        <w:rPr>
          <w:rFonts w:ascii="Franklin Gothic Book" w:hAnsi="Franklin Gothic Book" w:cstheme="minorHAnsi"/>
          <w:iCs/>
          <w:sz w:val="22"/>
          <w:szCs w:val="22"/>
        </w:rPr>
        <w:t xml:space="preserve"> impact </w:t>
      </w:r>
      <w:r w:rsidRPr="000A1D4E">
        <w:rPr>
          <w:rFonts w:ascii="Franklin Gothic Book" w:hAnsi="Franklin Gothic Book" w:cstheme="minorHAnsi"/>
          <w:iCs/>
          <w:sz w:val="22"/>
          <w:szCs w:val="22"/>
        </w:rPr>
        <w:t>to the MBS of $</w:t>
      </w:r>
      <w:r w:rsidR="00A4258F">
        <w:rPr>
          <w:rFonts w:ascii="Franklin Gothic Book" w:hAnsi="Franklin Gothic Book" w:cstheme="minorHAnsi"/>
          <w:iCs/>
          <w:sz w:val="22"/>
          <w:szCs w:val="22"/>
        </w:rPr>
        <w:t>768,123</w:t>
      </w:r>
      <w:r w:rsidR="003B72B7">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in </w:t>
      </w:r>
      <w:r w:rsidR="003B72B7">
        <w:rPr>
          <w:rFonts w:ascii="Franklin Gothic Book" w:hAnsi="Franklin Gothic Book" w:cstheme="minorHAnsi"/>
          <w:iCs/>
          <w:sz w:val="22"/>
          <w:szCs w:val="22"/>
        </w:rPr>
        <w:t>y</w:t>
      </w:r>
      <w:r w:rsidRPr="000A1D4E">
        <w:rPr>
          <w:rFonts w:ascii="Franklin Gothic Book" w:hAnsi="Franklin Gothic Book" w:cstheme="minorHAnsi"/>
          <w:iCs/>
          <w:sz w:val="22"/>
          <w:szCs w:val="22"/>
        </w:rPr>
        <w:t>ear 1</w:t>
      </w:r>
      <w:r w:rsidR="00114E81">
        <w:rPr>
          <w:rFonts w:ascii="Franklin Gothic Book" w:hAnsi="Franklin Gothic Book" w:cstheme="minorHAnsi"/>
          <w:iCs/>
          <w:sz w:val="22"/>
          <w:szCs w:val="22"/>
        </w:rPr>
        <w:t xml:space="preserve"> after listing</w:t>
      </w:r>
      <w:r w:rsidRPr="000A1D4E">
        <w:rPr>
          <w:rFonts w:ascii="Franklin Gothic Book" w:hAnsi="Franklin Gothic Book" w:cstheme="minorHAnsi"/>
          <w:iCs/>
          <w:sz w:val="22"/>
          <w:szCs w:val="22"/>
        </w:rPr>
        <w:t xml:space="preserve"> to $</w:t>
      </w:r>
      <w:r w:rsidR="00A4258F">
        <w:rPr>
          <w:rFonts w:ascii="Franklin Gothic Book" w:hAnsi="Franklin Gothic Book" w:cstheme="minorHAnsi"/>
          <w:iCs/>
          <w:sz w:val="22"/>
          <w:szCs w:val="22"/>
        </w:rPr>
        <w:t>807,305</w:t>
      </w:r>
      <w:r w:rsidRPr="000A1D4E">
        <w:rPr>
          <w:rFonts w:ascii="Franklin Gothic Book" w:hAnsi="Franklin Gothic Book" w:cstheme="minorHAnsi"/>
          <w:iCs/>
          <w:sz w:val="22"/>
          <w:szCs w:val="22"/>
        </w:rPr>
        <w:t xml:space="preserve"> in </w:t>
      </w:r>
      <w:r w:rsidR="00114E81">
        <w:rPr>
          <w:rFonts w:ascii="Franklin Gothic Book" w:hAnsi="Franklin Gothic Book" w:cstheme="minorHAnsi"/>
          <w:iCs/>
          <w:sz w:val="22"/>
          <w:szCs w:val="22"/>
        </w:rPr>
        <w:t>y</w:t>
      </w:r>
      <w:r w:rsidRPr="000A1D4E">
        <w:rPr>
          <w:rFonts w:ascii="Franklin Gothic Book" w:hAnsi="Franklin Gothic Book" w:cstheme="minorHAnsi"/>
          <w:iCs/>
          <w:sz w:val="22"/>
          <w:szCs w:val="22"/>
        </w:rPr>
        <w:t>ear </w:t>
      </w:r>
      <w:r w:rsidR="00114E81">
        <w:rPr>
          <w:rFonts w:ascii="Franklin Gothic Book" w:hAnsi="Franklin Gothic Book" w:cstheme="minorHAnsi"/>
          <w:iCs/>
          <w:sz w:val="22"/>
          <w:szCs w:val="22"/>
        </w:rPr>
        <w:t>6</w:t>
      </w:r>
      <w:r w:rsidRPr="000A1D4E">
        <w:rPr>
          <w:rFonts w:ascii="Franklin Gothic Book" w:hAnsi="Franklin Gothic Book" w:cstheme="minorHAnsi"/>
          <w:iCs/>
          <w:sz w:val="22"/>
          <w:szCs w:val="22"/>
        </w:rPr>
        <w:t xml:space="preserve">. MSAC </w:t>
      </w:r>
      <w:r w:rsidR="00BC2276">
        <w:rPr>
          <w:rFonts w:ascii="Franklin Gothic Book" w:hAnsi="Franklin Gothic Book" w:cstheme="minorHAnsi"/>
          <w:iCs/>
          <w:sz w:val="22"/>
          <w:szCs w:val="22"/>
        </w:rPr>
        <w:t>considered</w:t>
      </w:r>
      <w:r w:rsidR="00BC2276"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that this did not include repeat testing or </w:t>
      </w:r>
      <w:r w:rsidR="00B11543">
        <w:rPr>
          <w:rFonts w:ascii="Franklin Gothic Book" w:hAnsi="Franklin Gothic Book" w:cstheme="minorHAnsi"/>
          <w:iCs/>
          <w:sz w:val="22"/>
          <w:szCs w:val="22"/>
        </w:rPr>
        <w:t>all its</w:t>
      </w:r>
      <w:r w:rsidR="00B11543" w:rsidRPr="000A1D4E">
        <w:rPr>
          <w:rFonts w:ascii="Franklin Gothic Book" w:hAnsi="Franklin Gothic Book" w:cstheme="minorHAnsi"/>
          <w:iCs/>
          <w:sz w:val="22"/>
          <w:szCs w:val="22"/>
        </w:rPr>
        <w:t xml:space="preserve"> </w:t>
      </w:r>
      <w:r w:rsidR="00B11543">
        <w:rPr>
          <w:rFonts w:ascii="Franklin Gothic Book" w:hAnsi="Franklin Gothic Book" w:cstheme="minorHAnsi"/>
          <w:iCs/>
          <w:sz w:val="22"/>
          <w:szCs w:val="22"/>
        </w:rPr>
        <w:t xml:space="preserve">supported </w:t>
      </w:r>
      <w:r w:rsidRPr="000A1D4E">
        <w:rPr>
          <w:rFonts w:ascii="Franklin Gothic Book" w:hAnsi="Franklin Gothic Book" w:cstheme="minorHAnsi"/>
          <w:iCs/>
          <w:sz w:val="22"/>
          <w:szCs w:val="22"/>
        </w:rPr>
        <w:t xml:space="preserve">changes </w:t>
      </w:r>
      <w:r w:rsidR="00540DA6">
        <w:rPr>
          <w:rFonts w:ascii="Franklin Gothic Book" w:hAnsi="Franklin Gothic Book" w:cstheme="minorHAnsi"/>
          <w:iCs/>
          <w:sz w:val="22"/>
          <w:szCs w:val="22"/>
        </w:rPr>
        <w:t>in use of</w:t>
      </w:r>
      <w:r w:rsidR="00540DA6"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the single gene tests, but considered </w:t>
      </w:r>
      <w:r w:rsidR="009B44CA">
        <w:rPr>
          <w:rFonts w:ascii="Franklin Gothic Book" w:hAnsi="Franklin Gothic Book" w:cstheme="minorHAnsi"/>
          <w:iCs/>
          <w:sz w:val="22"/>
          <w:szCs w:val="22"/>
        </w:rPr>
        <w:t xml:space="preserve">inclusion of </w:t>
      </w:r>
      <w:r w:rsidRPr="000A1D4E">
        <w:rPr>
          <w:rFonts w:ascii="Franklin Gothic Book" w:hAnsi="Franklin Gothic Book" w:cstheme="minorHAnsi"/>
          <w:iCs/>
          <w:sz w:val="22"/>
          <w:szCs w:val="22"/>
        </w:rPr>
        <w:t xml:space="preserve">these </w:t>
      </w:r>
      <w:r w:rsidR="009B44CA">
        <w:rPr>
          <w:rFonts w:ascii="Franklin Gothic Book" w:hAnsi="Franklin Gothic Book" w:cstheme="minorHAnsi"/>
          <w:iCs/>
          <w:sz w:val="22"/>
          <w:szCs w:val="22"/>
        </w:rPr>
        <w:t>costs would</w:t>
      </w:r>
      <w:r w:rsidRPr="000A1D4E">
        <w:rPr>
          <w:rFonts w:ascii="Franklin Gothic Book" w:hAnsi="Franklin Gothic Book" w:cstheme="minorHAnsi"/>
          <w:iCs/>
          <w:sz w:val="22"/>
          <w:szCs w:val="22"/>
        </w:rPr>
        <w:t xml:space="preserve"> have a </w:t>
      </w:r>
      <w:r w:rsidR="00C870CC">
        <w:rPr>
          <w:rFonts w:ascii="Franklin Gothic Book" w:hAnsi="Franklin Gothic Book" w:cstheme="minorHAnsi"/>
          <w:iCs/>
          <w:sz w:val="22"/>
          <w:szCs w:val="22"/>
        </w:rPr>
        <w:t>negligible</w:t>
      </w:r>
      <w:r w:rsidR="00C870CC" w:rsidRPr="000A1D4E">
        <w:rPr>
          <w:rFonts w:ascii="Franklin Gothic Book" w:hAnsi="Franklin Gothic Book" w:cstheme="minorHAnsi"/>
          <w:iCs/>
          <w:sz w:val="22"/>
          <w:szCs w:val="22"/>
        </w:rPr>
        <w:t xml:space="preserve"> </w:t>
      </w:r>
      <w:r w:rsidRPr="000A1D4E">
        <w:rPr>
          <w:rFonts w:ascii="Franklin Gothic Book" w:hAnsi="Franklin Gothic Book" w:cstheme="minorHAnsi"/>
          <w:iCs/>
          <w:sz w:val="22"/>
          <w:szCs w:val="22"/>
        </w:rPr>
        <w:t xml:space="preserve">impact on the </w:t>
      </w:r>
      <w:r w:rsidR="009B44CA">
        <w:rPr>
          <w:rFonts w:ascii="Franklin Gothic Book" w:hAnsi="Franklin Gothic Book" w:cstheme="minorHAnsi"/>
          <w:iCs/>
          <w:sz w:val="22"/>
          <w:szCs w:val="22"/>
        </w:rPr>
        <w:t xml:space="preserve">estimates of </w:t>
      </w:r>
      <w:r w:rsidRPr="000A1D4E">
        <w:rPr>
          <w:rFonts w:ascii="Franklin Gothic Book" w:hAnsi="Franklin Gothic Book" w:cstheme="minorHAnsi"/>
          <w:iCs/>
          <w:sz w:val="22"/>
          <w:szCs w:val="22"/>
        </w:rPr>
        <w:t>overall financial</w:t>
      </w:r>
      <w:r w:rsidR="00540DA6">
        <w:rPr>
          <w:rFonts w:ascii="Franklin Gothic Book" w:hAnsi="Franklin Gothic Book" w:cstheme="minorHAnsi"/>
          <w:iCs/>
          <w:sz w:val="22"/>
          <w:szCs w:val="22"/>
        </w:rPr>
        <w:t xml:space="preserve"> impact</w:t>
      </w:r>
      <w:r w:rsidR="00C870CC">
        <w:rPr>
          <w:rFonts w:ascii="Franklin Gothic Book" w:hAnsi="Franklin Gothic Book" w:cstheme="minorHAnsi"/>
          <w:iCs/>
          <w:sz w:val="22"/>
          <w:szCs w:val="22"/>
        </w:rPr>
        <w:t>, given practical difficulties in obtaining additional tissue samples for repeat testing and the low service utilisation of existing single gene tests.</w:t>
      </w:r>
    </w:p>
    <w:p w14:paraId="6F5F9682" w14:textId="426480FA" w:rsidR="000A1D4E" w:rsidRPr="000A1D4E" w:rsidRDefault="000A1D4E" w:rsidP="000A1D4E">
      <w:pPr>
        <w:spacing w:after="240"/>
        <w:jc w:val="both"/>
        <w:rPr>
          <w:rFonts w:ascii="Franklin Gothic Book" w:hAnsi="Franklin Gothic Book" w:cstheme="minorHAnsi"/>
          <w:iCs/>
          <w:sz w:val="22"/>
          <w:szCs w:val="22"/>
        </w:rPr>
      </w:pPr>
      <w:r w:rsidRPr="000A1D4E">
        <w:rPr>
          <w:rFonts w:ascii="Franklin Gothic Book" w:hAnsi="Franklin Gothic Book" w:cstheme="minorHAnsi"/>
          <w:iCs/>
          <w:sz w:val="22"/>
          <w:szCs w:val="22"/>
        </w:rPr>
        <w:t>MSAC supported listing somatic gene panel testing on the MBS for single nucleotide variants, structural variants, fusions and copy number alterations in the initial diagnosis, and at relapse, of patients presenting with morphological features of glioma, glioneur</w:t>
      </w:r>
      <w:r w:rsidR="003B72B7">
        <w:rPr>
          <w:rFonts w:ascii="Franklin Gothic Book" w:hAnsi="Franklin Gothic Book" w:cstheme="minorHAnsi"/>
          <w:iCs/>
          <w:sz w:val="22"/>
          <w:szCs w:val="22"/>
        </w:rPr>
        <w:t>on</w:t>
      </w:r>
      <w:r w:rsidRPr="000A1D4E">
        <w:rPr>
          <w:rFonts w:ascii="Franklin Gothic Book" w:hAnsi="Franklin Gothic Book" w:cstheme="minorHAnsi"/>
          <w:iCs/>
          <w:sz w:val="22"/>
          <w:szCs w:val="22"/>
        </w:rPr>
        <w:t>al tumours or glioblastoma. MSAC advised the proposed gene panel is safe, allows diagnosis that integrates molecular profiling and morphology, is likely cost-effective, and would have small budget implications with a low risk of leakage as the patient population is well defined.</w:t>
      </w:r>
    </w:p>
    <w:p w14:paraId="14F32AD2" w14:textId="3359C0EB" w:rsidR="00762925" w:rsidRPr="005D6B21" w:rsidRDefault="001315CE" w:rsidP="00762925">
      <w:pPr>
        <w:pStyle w:val="Heading2"/>
        <w:numPr>
          <w:ilvl w:val="0"/>
          <w:numId w:val="0"/>
        </w:numPr>
      </w:pPr>
      <w:bookmarkStart w:id="3" w:name="_Toc97723460"/>
      <w:bookmarkEnd w:id="1"/>
      <w:r>
        <w:t>4</w:t>
      </w:r>
      <w:r w:rsidR="00762925">
        <w:t>.</w:t>
      </w:r>
      <w:r w:rsidR="00762925">
        <w:tab/>
      </w:r>
      <w:r w:rsidR="00762925" w:rsidRPr="00CE28E3">
        <w:t>Background</w:t>
      </w:r>
      <w:bookmarkStart w:id="4" w:name="_Hlk69734494"/>
      <w:bookmarkEnd w:id="3"/>
    </w:p>
    <w:p w14:paraId="4FBE84FE" w14:textId="60C87645" w:rsidR="00762925" w:rsidRPr="003A7A92" w:rsidRDefault="00762925" w:rsidP="00762925">
      <w:pPr>
        <w:spacing w:after="240"/>
        <w:jc w:val="both"/>
        <w:rPr>
          <w:rFonts w:ascii="Franklin Gothic Book" w:hAnsi="Franklin Gothic Book" w:cstheme="minorHAnsi"/>
          <w:sz w:val="22"/>
          <w:szCs w:val="22"/>
        </w:rPr>
      </w:pPr>
      <w:r>
        <w:rPr>
          <w:rFonts w:ascii="Franklin Gothic Book" w:hAnsi="Franklin Gothic Book" w:cstheme="minorHAnsi"/>
          <w:sz w:val="22"/>
          <w:szCs w:val="22"/>
        </w:rPr>
        <w:t>Primary brain malignancies</w:t>
      </w:r>
      <w:r w:rsidRPr="00900F73">
        <w:rPr>
          <w:rFonts w:ascii="Franklin Gothic Book" w:hAnsi="Franklin Gothic Book" w:cstheme="minorHAnsi"/>
          <w:sz w:val="22"/>
          <w:szCs w:val="22"/>
        </w:rPr>
        <w:t xml:space="preserve"> </w:t>
      </w:r>
      <w:r>
        <w:rPr>
          <w:rFonts w:ascii="Franklin Gothic Book" w:hAnsi="Franklin Gothic Book" w:cstheme="minorHAnsi"/>
          <w:sz w:val="22"/>
          <w:szCs w:val="22"/>
        </w:rPr>
        <w:t>account for approximately 30% of all primary brain tumours, and are a rare cancer,</w:t>
      </w:r>
      <w:r w:rsidRPr="00900F73">
        <w:rPr>
          <w:rFonts w:ascii="Franklin Gothic Book" w:hAnsi="Franklin Gothic Book" w:cstheme="minorHAnsi"/>
          <w:sz w:val="22"/>
          <w:szCs w:val="22"/>
        </w:rPr>
        <w:t xml:space="preserve"> </w:t>
      </w:r>
      <w:r>
        <w:rPr>
          <w:rFonts w:ascii="Franklin Gothic Book" w:hAnsi="Franklin Gothic Book" w:cstheme="minorHAnsi"/>
          <w:sz w:val="22"/>
          <w:szCs w:val="22"/>
        </w:rPr>
        <w:t>with a lifetime risk up to the age of 85 of 0.62%. Despite being the 18</w:t>
      </w:r>
      <w:r w:rsidRPr="00EB3A31">
        <w:rPr>
          <w:rFonts w:ascii="Franklin Gothic Book" w:hAnsi="Franklin Gothic Book" w:cstheme="minorHAnsi"/>
          <w:sz w:val="22"/>
          <w:szCs w:val="22"/>
          <w:vertAlign w:val="superscript"/>
        </w:rPr>
        <w:t>th</w:t>
      </w:r>
      <w:r>
        <w:rPr>
          <w:rFonts w:ascii="Franklin Gothic Book" w:hAnsi="Franklin Gothic Book" w:cstheme="minorHAnsi"/>
          <w:sz w:val="22"/>
          <w:szCs w:val="22"/>
        </w:rPr>
        <w:t xml:space="preserve"> most common cancer diagnosed in Australia, it is</w:t>
      </w:r>
      <w:r w:rsidRPr="00C913DA">
        <w:rPr>
          <w:rFonts w:ascii="Franklin Gothic Book" w:hAnsi="Franklin Gothic Book" w:cstheme="minorHAnsi"/>
          <w:sz w:val="22"/>
          <w:szCs w:val="22"/>
        </w:rPr>
        <w:t xml:space="preserve"> </w:t>
      </w:r>
      <w:r>
        <w:rPr>
          <w:rFonts w:ascii="Franklin Gothic Book" w:hAnsi="Franklin Gothic Book" w:cstheme="minorHAnsi"/>
          <w:sz w:val="22"/>
          <w:szCs w:val="22"/>
        </w:rPr>
        <w:t>the leading cause of cancer-related deaths in Australians under the age of 40 and the 9</w:t>
      </w:r>
      <w:r w:rsidRPr="00EB3A31">
        <w:rPr>
          <w:rFonts w:ascii="Franklin Gothic Book" w:hAnsi="Franklin Gothic Book" w:cstheme="minorHAnsi"/>
          <w:sz w:val="22"/>
          <w:szCs w:val="22"/>
          <w:vertAlign w:val="superscript"/>
        </w:rPr>
        <w:t>th</w:t>
      </w:r>
      <w:r>
        <w:rPr>
          <w:rFonts w:ascii="Franklin Gothic Book" w:hAnsi="Franklin Gothic Book" w:cstheme="minorHAnsi"/>
          <w:sz w:val="22"/>
          <w:szCs w:val="22"/>
        </w:rPr>
        <w:t xml:space="preserve"> leading cause of death from cancer in adults overall in 2021</w:t>
      </w:r>
      <w:bookmarkStart w:id="5" w:name="_Ref96320687"/>
      <w:r>
        <w:rPr>
          <w:rStyle w:val="FootnoteReference"/>
          <w:rFonts w:ascii="Franklin Gothic Book" w:hAnsi="Franklin Gothic Book" w:cstheme="minorHAnsi"/>
          <w:sz w:val="22"/>
          <w:szCs w:val="22"/>
        </w:rPr>
        <w:footnoteReference w:id="4"/>
      </w:r>
      <w:bookmarkEnd w:id="5"/>
      <w:r>
        <w:rPr>
          <w:rFonts w:ascii="Franklin Gothic Book" w:hAnsi="Franklin Gothic Book" w:cstheme="minorHAnsi"/>
          <w:sz w:val="22"/>
          <w:szCs w:val="22"/>
        </w:rPr>
        <w:t>. The</w:t>
      </w:r>
      <w:r w:rsidRPr="00C91FC9">
        <w:rPr>
          <w:rFonts w:ascii="Franklin Gothic Book" w:hAnsi="Franklin Gothic Book" w:cstheme="minorHAnsi"/>
          <w:sz w:val="22"/>
          <w:szCs w:val="22"/>
        </w:rPr>
        <w:t xml:space="preserve"> average 5-year survival rate of</w:t>
      </w:r>
      <w:r>
        <w:rPr>
          <w:rFonts w:ascii="Franklin Gothic Book" w:hAnsi="Franklin Gothic Book" w:cstheme="minorHAnsi"/>
          <w:sz w:val="22"/>
          <w:szCs w:val="22"/>
        </w:rPr>
        <w:t xml:space="preserve"> patients with brain cancer is</w:t>
      </w:r>
      <w:r w:rsidRPr="00C91FC9">
        <w:rPr>
          <w:rFonts w:ascii="Franklin Gothic Book" w:hAnsi="Franklin Gothic Book" w:cstheme="minorHAnsi"/>
          <w:sz w:val="22"/>
          <w:szCs w:val="22"/>
        </w:rPr>
        <w:t xml:space="preserve"> 22.3%</w:t>
      </w:r>
      <w:r w:rsidRPr="00234323">
        <w:rPr>
          <w:rFonts w:ascii="Franklin Gothic Book" w:hAnsi="Franklin Gothic Book" w:cstheme="minorHAnsi"/>
          <w:sz w:val="22"/>
          <w:szCs w:val="22"/>
          <w:vertAlign w:val="superscript"/>
        </w:rPr>
        <w:fldChar w:fldCharType="begin"/>
      </w:r>
      <w:r w:rsidRPr="00234323">
        <w:rPr>
          <w:rFonts w:ascii="Franklin Gothic Book" w:hAnsi="Franklin Gothic Book" w:cstheme="minorHAnsi"/>
          <w:sz w:val="22"/>
          <w:szCs w:val="22"/>
          <w:vertAlign w:val="superscript"/>
        </w:rPr>
        <w:instrText xml:space="preserve"> NOTEREF _Ref96318082 \h  \* MERGEFORMAT </w:instrText>
      </w:r>
      <w:r w:rsidRPr="00234323">
        <w:rPr>
          <w:rFonts w:ascii="Franklin Gothic Book" w:hAnsi="Franklin Gothic Book" w:cstheme="minorHAnsi"/>
          <w:sz w:val="22"/>
          <w:szCs w:val="22"/>
          <w:vertAlign w:val="superscript"/>
        </w:rPr>
      </w:r>
      <w:r w:rsidRPr="00234323">
        <w:rPr>
          <w:rFonts w:ascii="Franklin Gothic Book" w:hAnsi="Franklin Gothic Book" w:cstheme="minorHAnsi"/>
          <w:sz w:val="22"/>
          <w:szCs w:val="22"/>
          <w:vertAlign w:val="superscript"/>
        </w:rPr>
        <w:fldChar w:fldCharType="separate"/>
      </w:r>
      <w:r w:rsidR="00C00851">
        <w:rPr>
          <w:rFonts w:ascii="Franklin Gothic Book" w:hAnsi="Franklin Gothic Book" w:cstheme="minorHAnsi"/>
          <w:sz w:val="22"/>
          <w:szCs w:val="22"/>
          <w:vertAlign w:val="superscript"/>
        </w:rPr>
        <w:t>4</w:t>
      </w:r>
      <w:r w:rsidRPr="00234323">
        <w:rPr>
          <w:rFonts w:ascii="Franklin Gothic Book" w:hAnsi="Franklin Gothic Book" w:cstheme="minorHAnsi"/>
          <w:sz w:val="22"/>
          <w:szCs w:val="22"/>
          <w:vertAlign w:val="superscript"/>
        </w:rPr>
        <w:fldChar w:fldCharType="end"/>
      </w:r>
      <w:r w:rsidRPr="00C91FC9">
        <w:rPr>
          <w:rFonts w:ascii="Franklin Gothic Book" w:hAnsi="Franklin Gothic Book" w:cstheme="minorHAnsi"/>
          <w:sz w:val="22"/>
          <w:szCs w:val="22"/>
          <w:vertAlign w:val="subscript"/>
        </w:rPr>
        <w:t>.</w:t>
      </w:r>
    </w:p>
    <w:p w14:paraId="5B00E1C8" w14:textId="77777777" w:rsidR="00762925" w:rsidRPr="00BF35B3" w:rsidRDefault="00762925" w:rsidP="00762925">
      <w:pPr>
        <w:spacing w:after="240"/>
        <w:jc w:val="both"/>
        <w:rPr>
          <w:rFonts w:ascii="Franklin Gothic Book" w:hAnsi="Franklin Gothic Book"/>
          <w:vertAlign w:val="superscript"/>
        </w:rPr>
      </w:pPr>
      <w:r>
        <w:rPr>
          <w:rFonts w:ascii="Franklin Gothic Book" w:hAnsi="Franklin Gothic Book" w:cstheme="minorHAnsi"/>
          <w:sz w:val="22"/>
          <w:szCs w:val="22"/>
        </w:rPr>
        <w:lastRenderedPageBreak/>
        <w:t>Malignant primary brain tumours are captured within Australian Institute of Health and Welfare (AIHW) data under the ICD-10 code C71: brain cancer</w:t>
      </w:r>
      <w:bookmarkStart w:id="6" w:name="_Ref96318082"/>
      <w:r w:rsidRPr="00900F73">
        <w:rPr>
          <w:rStyle w:val="FootnoteReference"/>
          <w:rFonts w:ascii="Franklin Gothic Book" w:hAnsi="Franklin Gothic Book" w:cstheme="minorHAnsi"/>
          <w:sz w:val="22"/>
          <w:szCs w:val="22"/>
        </w:rPr>
        <w:footnoteReference w:id="5"/>
      </w:r>
      <w:bookmarkEnd w:id="6"/>
      <w:r>
        <w:rPr>
          <w:rFonts w:ascii="Franklin Gothic Book" w:hAnsi="Franklin Gothic Book" w:cstheme="minorHAnsi"/>
          <w:sz w:val="22"/>
          <w:szCs w:val="22"/>
        </w:rPr>
        <w:t>.</w:t>
      </w:r>
      <w:r w:rsidRPr="00900F73">
        <w:rPr>
          <w:rFonts w:ascii="Franklin Gothic Book" w:hAnsi="Franklin Gothic Book" w:cstheme="minorHAnsi"/>
          <w:sz w:val="22"/>
          <w:szCs w:val="22"/>
        </w:rPr>
        <w:t xml:space="preserve"> </w:t>
      </w:r>
      <w:r>
        <w:rPr>
          <w:rFonts w:ascii="Franklin Gothic Book" w:hAnsi="Franklin Gothic Book" w:cstheme="minorHAnsi"/>
          <w:sz w:val="22"/>
          <w:szCs w:val="22"/>
        </w:rPr>
        <w:t>Approximately 81% of brain cancers are gliomas</w:t>
      </w:r>
      <w:bookmarkStart w:id="7" w:name="_Ref96318298"/>
      <w:r>
        <w:rPr>
          <w:rStyle w:val="FootnoteReference"/>
          <w:rFonts w:ascii="Franklin Gothic Book" w:hAnsi="Franklin Gothic Book" w:cstheme="minorHAnsi"/>
          <w:sz w:val="22"/>
          <w:szCs w:val="22"/>
        </w:rPr>
        <w:footnoteReference w:id="6"/>
      </w:r>
      <w:bookmarkEnd w:id="7"/>
      <w:r>
        <w:rPr>
          <w:rFonts w:ascii="Franklin Gothic Book" w:hAnsi="Franklin Gothic Book" w:cstheme="minorHAnsi"/>
          <w:sz w:val="22"/>
          <w:szCs w:val="22"/>
        </w:rPr>
        <w:t>, and</w:t>
      </w:r>
      <w:r w:rsidRPr="00D87F2A">
        <w:rPr>
          <w:rFonts w:ascii="Franklin Gothic Book" w:hAnsi="Franklin Gothic Book" w:cstheme="minorHAnsi"/>
          <w:sz w:val="22"/>
          <w:szCs w:val="22"/>
        </w:rPr>
        <w:t xml:space="preserve"> </w:t>
      </w:r>
      <w:r>
        <w:rPr>
          <w:rFonts w:ascii="Franklin Gothic Book" w:hAnsi="Franklin Gothic Book" w:cstheme="minorHAnsi"/>
          <w:sz w:val="22"/>
          <w:szCs w:val="22"/>
        </w:rPr>
        <w:t>arise from</w:t>
      </w:r>
      <w:r w:rsidRPr="00D87F2A">
        <w:rPr>
          <w:rFonts w:ascii="Franklin Gothic Book" w:hAnsi="Franklin Gothic Book" w:cstheme="minorHAnsi"/>
          <w:sz w:val="22"/>
          <w:szCs w:val="22"/>
        </w:rPr>
        <w:t xml:space="preserve"> </w:t>
      </w:r>
      <w:r>
        <w:rPr>
          <w:rFonts w:ascii="Franklin Gothic Book" w:hAnsi="Franklin Gothic Book" w:cstheme="minorHAnsi"/>
          <w:sz w:val="22"/>
          <w:szCs w:val="22"/>
        </w:rPr>
        <w:t xml:space="preserve">three types of </w:t>
      </w:r>
      <w:r w:rsidRPr="00D87F2A">
        <w:rPr>
          <w:rFonts w:ascii="Franklin Gothic Book" w:hAnsi="Franklin Gothic Book" w:cstheme="minorHAnsi"/>
          <w:sz w:val="22"/>
          <w:szCs w:val="22"/>
        </w:rPr>
        <w:t>glial cells:</w:t>
      </w:r>
      <w:r>
        <w:rPr>
          <w:rFonts w:ascii="Franklin Gothic Book" w:hAnsi="Franklin Gothic Book" w:cstheme="minorHAnsi"/>
          <w:sz w:val="22"/>
          <w:szCs w:val="22"/>
        </w:rPr>
        <w:t xml:space="preserve"> </w:t>
      </w:r>
      <w:r w:rsidRPr="00D87F2A">
        <w:rPr>
          <w:rFonts w:ascii="Franklin Gothic Book" w:hAnsi="Franklin Gothic Book" w:cstheme="minorHAnsi"/>
          <w:sz w:val="22"/>
          <w:szCs w:val="22"/>
        </w:rPr>
        <w:t xml:space="preserve">astrocytes </w:t>
      </w:r>
      <w:r>
        <w:rPr>
          <w:rFonts w:ascii="Franklin Gothic Book" w:hAnsi="Franklin Gothic Book" w:cstheme="minorHAnsi"/>
          <w:sz w:val="22"/>
          <w:szCs w:val="22"/>
        </w:rPr>
        <w:t xml:space="preserve">(giving rise to </w:t>
      </w:r>
      <w:proofErr w:type="spellStart"/>
      <w:r w:rsidRPr="00D87F2A">
        <w:rPr>
          <w:rFonts w:ascii="Franklin Gothic Book" w:hAnsi="Franklin Gothic Book" w:cstheme="minorHAnsi"/>
          <w:sz w:val="22"/>
          <w:szCs w:val="22"/>
        </w:rPr>
        <w:t>astrocytoma</w:t>
      </w:r>
      <w:r>
        <w:rPr>
          <w:rFonts w:ascii="Franklin Gothic Book" w:hAnsi="Franklin Gothic Book" w:cstheme="minorHAnsi"/>
          <w:sz w:val="22"/>
          <w:szCs w:val="22"/>
        </w:rPr>
        <w:t>s</w:t>
      </w:r>
      <w:proofErr w:type="spellEnd"/>
      <w:r w:rsidRPr="00D87F2A">
        <w:rPr>
          <w:rFonts w:ascii="Franklin Gothic Book" w:hAnsi="Franklin Gothic Book" w:cstheme="minorHAnsi"/>
          <w:sz w:val="22"/>
          <w:szCs w:val="22"/>
        </w:rPr>
        <w:t xml:space="preserve"> or glioblastoma</w:t>
      </w:r>
      <w:r>
        <w:rPr>
          <w:rFonts w:ascii="Franklin Gothic Book" w:hAnsi="Franklin Gothic Book" w:cstheme="minorHAnsi"/>
          <w:sz w:val="22"/>
          <w:szCs w:val="22"/>
        </w:rPr>
        <w:t xml:space="preserve">s), </w:t>
      </w:r>
      <w:r w:rsidRPr="00D87F2A">
        <w:rPr>
          <w:rFonts w:ascii="Franklin Gothic Book" w:hAnsi="Franklin Gothic Book" w:cstheme="minorHAnsi"/>
          <w:sz w:val="22"/>
          <w:szCs w:val="22"/>
        </w:rPr>
        <w:t xml:space="preserve">oligodendrocytes </w:t>
      </w:r>
      <w:r>
        <w:rPr>
          <w:rFonts w:ascii="Franklin Gothic Book" w:hAnsi="Franklin Gothic Book" w:cstheme="minorHAnsi"/>
          <w:sz w:val="22"/>
          <w:szCs w:val="22"/>
        </w:rPr>
        <w:t>(giving rise to</w:t>
      </w:r>
      <w:r w:rsidRPr="00D87F2A">
        <w:rPr>
          <w:rFonts w:ascii="Franklin Gothic Book" w:hAnsi="Franklin Gothic Book" w:cstheme="minorHAnsi"/>
          <w:sz w:val="22"/>
          <w:szCs w:val="22"/>
        </w:rPr>
        <w:t xml:space="preserve"> oligodendrogliomas</w:t>
      </w:r>
      <w:r>
        <w:rPr>
          <w:rFonts w:ascii="Franklin Gothic Book" w:hAnsi="Franklin Gothic Book" w:cstheme="minorHAnsi"/>
          <w:sz w:val="22"/>
          <w:szCs w:val="22"/>
        </w:rPr>
        <w:t>) and ependymal cells (giving rise to ependymomas).</w:t>
      </w:r>
    </w:p>
    <w:p w14:paraId="4BE2A9DF" w14:textId="6BD6D996" w:rsidR="00762925" w:rsidRPr="0036005D" w:rsidRDefault="00762925" w:rsidP="00762925">
      <w:pPr>
        <w:jc w:val="both"/>
        <w:rPr>
          <w:rFonts w:ascii="Franklin Gothic Book" w:hAnsi="Franklin Gothic Book"/>
          <w:sz w:val="22"/>
          <w:szCs w:val="22"/>
          <w:lang w:eastAsia="en-US"/>
        </w:rPr>
      </w:pPr>
      <w:r>
        <w:rPr>
          <w:rFonts w:ascii="Franklin Gothic Book" w:hAnsi="Franklin Gothic Book" w:cstheme="minorHAnsi"/>
          <w:sz w:val="22"/>
          <w:szCs w:val="22"/>
        </w:rPr>
        <w:t>G</w:t>
      </w:r>
      <w:r w:rsidRPr="00D87F2A">
        <w:rPr>
          <w:rFonts w:ascii="Franklin Gothic Book" w:hAnsi="Franklin Gothic Book" w:cstheme="minorHAnsi"/>
          <w:sz w:val="22"/>
          <w:szCs w:val="22"/>
        </w:rPr>
        <w:t>lioblastomas</w:t>
      </w:r>
      <w:r>
        <w:rPr>
          <w:rFonts w:ascii="Franklin Gothic Book" w:hAnsi="Franklin Gothic Book" w:cstheme="minorHAnsi"/>
          <w:sz w:val="22"/>
          <w:szCs w:val="22"/>
        </w:rPr>
        <w:t xml:space="preserve"> are</w:t>
      </w:r>
      <w:r w:rsidRPr="00D87F2A">
        <w:rPr>
          <w:rFonts w:ascii="Franklin Gothic Book" w:hAnsi="Franklin Gothic Book" w:cstheme="minorHAnsi"/>
          <w:sz w:val="22"/>
          <w:szCs w:val="22"/>
        </w:rPr>
        <w:t xml:space="preserve"> the most common and most aggressive type of </w:t>
      </w:r>
      <w:r>
        <w:rPr>
          <w:rFonts w:ascii="Franklin Gothic Book" w:hAnsi="Franklin Gothic Book" w:cstheme="minorHAnsi"/>
          <w:sz w:val="22"/>
          <w:szCs w:val="22"/>
        </w:rPr>
        <w:t>glioma</w:t>
      </w:r>
      <w:r w:rsidRPr="00D87F2A">
        <w:rPr>
          <w:rFonts w:ascii="Franklin Gothic Book" w:hAnsi="Franklin Gothic Book" w:cstheme="minorHAnsi"/>
          <w:sz w:val="22"/>
          <w:szCs w:val="22"/>
        </w:rPr>
        <w:t xml:space="preserve">, representing </w:t>
      </w:r>
      <w:r>
        <w:rPr>
          <w:rFonts w:ascii="Franklin Gothic Book" w:hAnsi="Franklin Gothic Book" w:cstheme="minorHAnsi"/>
          <w:sz w:val="22"/>
          <w:szCs w:val="22"/>
        </w:rPr>
        <w:t>48-54</w:t>
      </w:r>
      <w:r w:rsidRPr="00D87F2A">
        <w:rPr>
          <w:rFonts w:ascii="Franklin Gothic Book" w:hAnsi="Franklin Gothic Book" w:cstheme="minorHAnsi"/>
          <w:sz w:val="22"/>
          <w:szCs w:val="22"/>
        </w:rPr>
        <w:t>% of all gliomas.</w:t>
      </w:r>
      <w:r w:rsidRPr="00BD249D">
        <w:rPr>
          <w:rFonts w:ascii="Franklin Gothic Book" w:hAnsi="Franklin Gothic Book" w:cstheme="minorHAnsi"/>
          <w:sz w:val="22"/>
          <w:szCs w:val="22"/>
          <w:vertAlign w:val="superscript"/>
        </w:rPr>
        <w:fldChar w:fldCharType="begin"/>
      </w:r>
      <w:r w:rsidRPr="00BD249D">
        <w:rPr>
          <w:rFonts w:ascii="Franklin Gothic Book" w:hAnsi="Franklin Gothic Book" w:cstheme="minorHAnsi"/>
          <w:sz w:val="22"/>
          <w:szCs w:val="22"/>
          <w:vertAlign w:val="superscript"/>
        </w:rPr>
        <w:instrText xml:space="preserve"> NOTEREF _Ref96318298 \h </w:instrText>
      </w:r>
      <w:r>
        <w:rPr>
          <w:rFonts w:ascii="Franklin Gothic Book" w:hAnsi="Franklin Gothic Book" w:cstheme="minorHAnsi"/>
          <w:sz w:val="22"/>
          <w:szCs w:val="22"/>
          <w:vertAlign w:val="superscript"/>
        </w:rPr>
        <w:instrText xml:space="preserve"> \* MERGEFORMAT </w:instrText>
      </w:r>
      <w:r w:rsidRPr="00BD249D">
        <w:rPr>
          <w:rFonts w:ascii="Franklin Gothic Book" w:hAnsi="Franklin Gothic Book" w:cstheme="minorHAnsi"/>
          <w:sz w:val="22"/>
          <w:szCs w:val="22"/>
          <w:vertAlign w:val="superscript"/>
        </w:rPr>
      </w:r>
      <w:r w:rsidRPr="00BD249D">
        <w:rPr>
          <w:rFonts w:ascii="Franklin Gothic Book" w:hAnsi="Franklin Gothic Book" w:cstheme="minorHAnsi"/>
          <w:sz w:val="22"/>
          <w:szCs w:val="22"/>
          <w:vertAlign w:val="superscript"/>
        </w:rPr>
        <w:fldChar w:fldCharType="separate"/>
      </w:r>
      <w:r w:rsidR="00C00851">
        <w:rPr>
          <w:rFonts w:ascii="Franklin Gothic Book" w:hAnsi="Franklin Gothic Book" w:cstheme="minorHAnsi"/>
          <w:sz w:val="22"/>
          <w:szCs w:val="22"/>
          <w:vertAlign w:val="superscript"/>
        </w:rPr>
        <w:t>5</w:t>
      </w:r>
      <w:r w:rsidRPr="00BD249D">
        <w:rPr>
          <w:rFonts w:ascii="Franklin Gothic Book" w:hAnsi="Franklin Gothic Book" w:cstheme="minorHAnsi"/>
          <w:sz w:val="22"/>
          <w:szCs w:val="22"/>
          <w:vertAlign w:val="superscript"/>
        </w:rPr>
        <w:fldChar w:fldCharType="end"/>
      </w:r>
      <w:r w:rsidRPr="00BD249D">
        <w:rPr>
          <w:rFonts w:ascii="Franklin Gothic Book" w:hAnsi="Franklin Gothic Book" w:cstheme="minorHAnsi"/>
          <w:sz w:val="22"/>
          <w:szCs w:val="22"/>
          <w:vertAlign w:val="superscript"/>
        </w:rPr>
        <w:t>,</w:t>
      </w:r>
      <w:bookmarkStart w:id="8" w:name="_Ref96320868"/>
      <w:r w:rsidRPr="00BD249D">
        <w:rPr>
          <w:rStyle w:val="FootnoteReference"/>
          <w:rFonts w:ascii="Franklin Gothic Book" w:hAnsi="Franklin Gothic Book" w:cstheme="minorHAnsi"/>
          <w:sz w:val="22"/>
          <w:szCs w:val="22"/>
        </w:rPr>
        <w:footnoteReference w:id="7"/>
      </w:r>
      <w:bookmarkEnd w:id="8"/>
      <w:r w:rsidRPr="00D87F2A">
        <w:rPr>
          <w:rFonts w:ascii="Franklin Gothic Book" w:hAnsi="Franklin Gothic Book" w:cstheme="minorHAnsi"/>
          <w:sz w:val="22"/>
          <w:szCs w:val="22"/>
        </w:rPr>
        <w:t xml:space="preserve"> </w:t>
      </w:r>
      <w:r>
        <w:rPr>
          <w:rFonts w:ascii="Franklin Gothic Book" w:hAnsi="Franklin Gothic Book"/>
          <w:sz w:val="22"/>
          <w:szCs w:val="22"/>
          <w:lang w:eastAsia="en-US"/>
        </w:rPr>
        <w:t>Annual figures</w:t>
      </w:r>
      <w:r w:rsidRPr="00B461C6">
        <w:rPr>
          <w:rFonts w:ascii="Franklin Gothic Book" w:hAnsi="Franklin Gothic Book"/>
          <w:sz w:val="22"/>
          <w:szCs w:val="22"/>
          <w:lang w:eastAsia="en-US"/>
        </w:rPr>
        <w:t xml:space="preserve"> for the incidence of glioblastoma </w:t>
      </w:r>
      <w:r>
        <w:rPr>
          <w:rFonts w:ascii="Franklin Gothic Book" w:hAnsi="Franklin Gothic Book"/>
          <w:sz w:val="22"/>
          <w:szCs w:val="22"/>
          <w:lang w:eastAsia="en-US"/>
        </w:rPr>
        <w:t>could not be located</w:t>
      </w:r>
      <w:r w:rsidRPr="00B461C6">
        <w:rPr>
          <w:rFonts w:ascii="Franklin Gothic Book" w:hAnsi="Franklin Gothic Book"/>
          <w:sz w:val="22"/>
          <w:szCs w:val="22"/>
          <w:lang w:eastAsia="en-US"/>
        </w:rPr>
        <w:t xml:space="preserve"> but in 2013, AIHW data indicate there were 982 individuals with this diagnosis from a total of 1592 brain cancers of neuroepithelial tissue</w:t>
      </w:r>
      <w:bookmarkStart w:id="9" w:name="_Ref96320786"/>
      <w:r w:rsidRPr="00B461C6">
        <w:rPr>
          <w:rStyle w:val="FootnoteReference"/>
          <w:rFonts w:ascii="Franklin Gothic Book" w:hAnsi="Franklin Gothic Book"/>
          <w:sz w:val="22"/>
          <w:szCs w:val="22"/>
          <w:lang w:eastAsia="en-US"/>
        </w:rPr>
        <w:footnoteReference w:id="8"/>
      </w:r>
      <w:bookmarkEnd w:id="9"/>
      <w:r>
        <w:rPr>
          <w:rFonts w:ascii="Franklin Gothic Book" w:hAnsi="Franklin Gothic Book"/>
          <w:sz w:val="22"/>
          <w:szCs w:val="22"/>
          <w:lang w:eastAsia="en-US"/>
        </w:rPr>
        <w:t>. In another Australian study published from a review of data from 2000-2008, the rates of glioblastoma were noted to be increasing and estimated at 3.4/100 000 person years</w:t>
      </w:r>
      <w:bookmarkStart w:id="10" w:name="_Ref96419766"/>
      <w:r>
        <w:rPr>
          <w:rStyle w:val="FootnoteReference"/>
          <w:rFonts w:ascii="Franklin Gothic Book" w:hAnsi="Franklin Gothic Book"/>
          <w:sz w:val="22"/>
          <w:szCs w:val="22"/>
          <w:lang w:eastAsia="en-US"/>
        </w:rPr>
        <w:footnoteReference w:id="9"/>
      </w:r>
      <w:bookmarkEnd w:id="10"/>
      <w:r>
        <w:rPr>
          <w:rFonts w:ascii="Franklin Gothic Book" w:hAnsi="Franklin Gothic Book"/>
          <w:sz w:val="22"/>
          <w:szCs w:val="22"/>
          <w:lang w:eastAsia="en-US"/>
        </w:rPr>
        <w:t>.</w:t>
      </w:r>
    </w:p>
    <w:p w14:paraId="519B9F49" w14:textId="77777777" w:rsidR="00762925" w:rsidRPr="00C91FC9" w:rsidRDefault="00762925" w:rsidP="00762925">
      <w:pPr>
        <w:pStyle w:val="Heading3"/>
      </w:pPr>
      <w:bookmarkStart w:id="11" w:name="_Toc97723461"/>
      <w:r w:rsidRPr="00C91FC9">
        <w:t>WHO Classification of Tumours of the Central Nervous System</w:t>
      </w:r>
      <w:bookmarkEnd w:id="11"/>
    </w:p>
    <w:p w14:paraId="5A3A941A" w14:textId="79DA0AF8" w:rsidR="00762925" w:rsidRPr="00C91FC9" w:rsidRDefault="00762925" w:rsidP="00762925">
      <w:pPr>
        <w:jc w:val="both"/>
        <w:rPr>
          <w:rFonts w:ascii="Franklin Gothic Book" w:hAnsi="Franklin Gothic Book" w:cstheme="minorHAnsi"/>
          <w:iCs/>
          <w:sz w:val="22"/>
          <w:szCs w:val="22"/>
        </w:rPr>
      </w:pPr>
      <w:r w:rsidRPr="00C91FC9">
        <w:rPr>
          <w:rFonts w:ascii="Franklin Gothic Book" w:hAnsi="Franklin Gothic Book" w:cstheme="minorHAnsi"/>
          <w:iCs/>
          <w:sz w:val="22"/>
          <w:szCs w:val="22"/>
        </w:rPr>
        <w:t>In 2021, the fifth edition of the WHO Classification of Tumours of the Central Nervous System (CNS5)</w:t>
      </w:r>
      <w:r w:rsidRPr="00C91FC9">
        <w:rPr>
          <w:rStyle w:val="FootnoteReference"/>
          <w:rFonts w:ascii="Franklin Gothic Book" w:hAnsi="Franklin Gothic Book" w:cstheme="minorHAnsi"/>
          <w:iCs/>
          <w:sz w:val="22"/>
          <w:szCs w:val="22"/>
        </w:rPr>
        <w:footnoteReference w:id="10"/>
      </w:r>
      <w:r w:rsidRPr="00C91FC9">
        <w:rPr>
          <w:rFonts w:ascii="Franklin Gothic Book" w:hAnsi="Franklin Gothic Book" w:cstheme="minorHAnsi"/>
          <w:iCs/>
          <w:sz w:val="22"/>
          <w:szCs w:val="22"/>
        </w:rPr>
        <w:t xml:space="preserve"> was published</w:t>
      </w:r>
      <w:r w:rsidR="00660A7A">
        <w:rPr>
          <w:rStyle w:val="FootnoteReference"/>
          <w:rFonts w:ascii="Franklin Gothic Book" w:hAnsi="Franklin Gothic Book" w:cstheme="minorHAnsi"/>
          <w:iCs/>
          <w:sz w:val="22"/>
          <w:szCs w:val="22"/>
        </w:rPr>
        <w:footnoteReference w:id="11"/>
      </w:r>
      <w:r>
        <w:rPr>
          <w:rFonts w:ascii="Franklin Gothic Book" w:hAnsi="Franklin Gothic Book" w:cstheme="minorHAnsi"/>
          <w:iCs/>
          <w:sz w:val="22"/>
          <w:szCs w:val="22"/>
        </w:rPr>
        <w:t>. This</w:t>
      </w:r>
      <w:r w:rsidRPr="00C91FC9">
        <w:rPr>
          <w:rFonts w:ascii="Franklin Gothic Book" w:hAnsi="Franklin Gothic Book" w:cstheme="minorHAnsi"/>
          <w:iCs/>
          <w:sz w:val="22"/>
          <w:szCs w:val="22"/>
        </w:rPr>
        <w:t xml:space="preserve"> seeks to </w:t>
      </w:r>
      <w:r>
        <w:rPr>
          <w:rFonts w:ascii="Franklin Gothic Book" w:hAnsi="Franklin Gothic Book" w:cstheme="minorHAnsi"/>
          <w:iCs/>
          <w:sz w:val="22"/>
          <w:szCs w:val="22"/>
        </w:rPr>
        <w:t>integrate</w:t>
      </w:r>
      <w:r w:rsidRPr="00C91FC9">
        <w:rPr>
          <w:rFonts w:ascii="Franklin Gothic Book" w:hAnsi="Franklin Gothic Book" w:cstheme="minorHAnsi"/>
          <w:iCs/>
          <w:sz w:val="22"/>
          <w:szCs w:val="22"/>
        </w:rPr>
        <w:t xml:space="preserve"> molecular diagnostics with the established technologies of immunohistochemistry and histology and present an integrated approach to diagnosing brain and spinal cord tumours. Molecular characterisation facilitates making a diagnosis (including subtyping) and i</w:t>
      </w:r>
      <w:r>
        <w:rPr>
          <w:rFonts w:ascii="Franklin Gothic Book" w:hAnsi="Franklin Gothic Book" w:cstheme="minorHAnsi"/>
          <w:iCs/>
          <w:sz w:val="22"/>
          <w:szCs w:val="22"/>
        </w:rPr>
        <w:t>n</w:t>
      </w:r>
      <w:r w:rsidRPr="00C91FC9">
        <w:rPr>
          <w:rFonts w:ascii="Franklin Gothic Book" w:hAnsi="Franklin Gothic Book" w:cstheme="minorHAnsi"/>
          <w:iCs/>
          <w:sz w:val="22"/>
          <w:szCs w:val="22"/>
        </w:rPr>
        <w:t xml:space="preserve"> some instances is essential to establish a diagnosis, for prognostication and provides predictive information in some instances.</w:t>
      </w:r>
      <w:bookmarkStart w:id="12" w:name="_Ref95585588"/>
      <w:r w:rsidRPr="00C91FC9">
        <w:rPr>
          <w:rStyle w:val="FootnoteReference"/>
          <w:rFonts w:ascii="Franklin Gothic Book" w:hAnsi="Franklin Gothic Book" w:cstheme="minorHAnsi"/>
          <w:iCs/>
          <w:sz w:val="22"/>
          <w:szCs w:val="22"/>
        </w:rPr>
        <w:footnoteReference w:id="12"/>
      </w:r>
      <w:bookmarkEnd w:id="12"/>
      <w:r>
        <w:rPr>
          <w:rFonts w:ascii="Franklin Gothic Book" w:hAnsi="Franklin Gothic Book" w:cstheme="minorHAnsi"/>
          <w:iCs/>
          <w:sz w:val="22"/>
          <w:szCs w:val="22"/>
        </w:rPr>
        <w:t xml:space="preserve"> As such, it has become the key guideline for diagnosing CNS tumours.</w:t>
      </w:r>
    </w:p>
    <w:p w14:paraId="708FB044" w14:textId="77777777" w:rsidR="00762925" w:rsidRDefault="00762925" w:rsidP="00762925">
      <w:pPr>
        <w:pStyle w:val="TableFooter"/>
        <w:rPr>
          <w:rFonts w:ascii="Franklin Gothic Book" w:hAnsi="Franklin Gothic Book"/>
          <w:sz w:val="22"/>
          <w:szCs w:val="22"/>
        </w:rPr>
      </w:pPr>
      <w:r>
        <w:rPr>
          <w:rFonts w:ascii="Franklin Gothic Book" w:hAnsi="Franklin Gothic Book"/>
          <w:sz w:val="22"/>
          <w:szCs w:val="22"/>
        </w:rPr>
        <w:t>Key changes with the WHO CNS5 are:</w:t>
      </w:r>
    </w:p>
    <w:p w14:paraId="536A10A5" w14:textId="77777777" w:rsidR="00762925" w:rsidRPr="00697C56" w:rsidRDefault="00762925" w:rsidP="00762925">
      <w:pPr>
        <w:pStyle w:val="TableFooter"/>
        <w:numPr>
          <w:ilvl w:val="0"/>
          <w:numId w:val="17"/>
        </w:numPr>
        <w:rPr>
          <w:rFonts w:ascii="Franklin Gothic Book" w:hAnsi="Franklin Gothic Book"/>
          <w:sz w:val="22"/>
          <w:szCs w:val="22"/>
        </w:rPr>
      </w:pPr>
      <w:r>
        <w:rPr>
          <w:rFonts w:ascii="Franklin Gothic Book" w:hAnsi="Franklin Gothic Book"/>
          <w:sz w:val="22"/>
          <w:szCs w:val="22"/>
        </w:rPr>
        <w:t>m</w:t>
      </w:r>
      <w:r w:rsidRPr="00356A96">
        <w:rPr>
          <w:rFonts w:ascii="Franklin Gothic Book" w:hAnsi="Franklin Gothic Book"/>
          <w:sz w:val="22"/>
          <w:szCs w:val="22"/>
        </w:rPr>
        <w:t xml:space="preserve">olecular profiling </w:t>
      </w:r>
      <w:r>
        <w:rPr>
          <w:rFonts w:ascii="Franklin Gothic Book" w:hAnsi="Franklin Gothic Book"/>
          <w:sz w:val="22"/>
          <w:szCs w:val="22"/>
        </w:rPr>
        <w:t xml:space="preserve">contributes now to </w:t>
      </w:r>
      <w:r w:rsidRPr="00356A96">
        <w:rPr>
          <w:rFonts w:ascii="Franklin Gothic Book" w:hAnsi="Franklin Gothic Book"/>
          <w:sz w:val="22"/>
          <w:szCs w:val="22"/>
        </w:rPr>
        <w:t>g</w:t>
      </w:r>
      <w:r>
        <w:rPr>
          <w:rFonts w:ascii="Franklin Gothic Book" w:hAnsi="Franklin Gothic Book"/>
          <w:sz w:val="22"/>
          <w:szCs w:val="22"/>
        </w:rPr>
        <w:t>rading</w:t>
      </w:r>
      <w:r w:rsidRPr="00356A96">
        <w:rPr>
          <w:rFonts w:ascii="Franklin Gothic Book" w:hAnsi="Franklin Gothic Book"/>
          <w:sz w:val="22"/>
          <w:szCs w:val="22"/>
        </w:rPr>
        <w:t xml:space="preserve"> </w:t>
      </w:r>
      <w:r>
        <w:rPr>
          <w:rFonts w:ascii="Franklin Gothic Book" w:hAnsi="Franklin Gothic Book"/>
          <w:sz w:val="22"/>
          <w:szCs w:val="22"/>
        </w:rPr>
        <w:t xml:space="preserve">in some CNS tumours, </w:t>
      </w:r>
      <w:r w:rsidRPr="00697C56">
        <w:rPr>
          <w:rFonts w:ascii="Franklin Gothic Book" w:hAnsi="Franklin Gothic Book"/>
          <w:sz w:val="22"/>
          <w:szCs w:val="22"/>
        </w:rPr>
        <w:t xml:space="preserve">independent of histology and morphology </w:t>
      </w:r>
    </w:p>
    <w:p w14:paraId="270D722B" w14:textId="428B2EF0" w:rsidR="00762925" w:rsidRDefault="00762925" w:rsidP="00762925">
      <w:pPr>
        <w:pStyle w:val="TableFooter"/>
        <w:numPr>
          <w:ilvl w:val="0"/>
          <w:numId w:val="17"/>
        </w:numPr>
        <w:rPr>
          <w:rFonts w:ascii="Franklin Gothic Book" w:hAnsi="Franklin Gothic Book"/>
          <w:sz w:val="22"/>
          <w:szCs w:val="22"/>
        </w:rPr>
      </w:pPr>
      <w:r>
        <w:rPr>
          <w:rFonts w:ascii="Franklin Gothic Book" w:hAnsi="Franklin Gothic Book"/>
          <w:sz w:val="22"/>
          <w:szCs w:val="22"/>
        </w:rPr>
        <w:t>14</w:t>
      </w:r>
      <w:r w:rsidRPr="00EE5ED8">
        <w:rPr>
          <w:rFonts w:ascii="Franklin Gothic Book" w:hAnsi="Franklin Gothic Book"/>
          <w:sz w:val="22"/>
          <w:szCs w:val="22"/>
        </w:rPr>
        <w:t xml:space="preserve"> newly recognised glioma, glioneur</w:t>
      </w:r>
      <w:r w:rsidR="003B72B7">
        <w:rPr>
          <w:rFonts w:ascii="Franklin Gothic Book" w:hAnsi="Franklin Gothic Book"/>
          <w:sz w:val="22"/>
          <w:szCs w:val="22"/>
        </w:rPr>
        <w:t>on</w:t>
      </w:r>
      <w:r w:rsidRPr="00EE5ED8">
        <w:rPr>
          <w:rFonts w:ascii="Franklin Gothic Book" w:hAnsi="Franklin Gothic Book"/>
          <w:sz w:val="22"/>
          <w:szCs w:val="22"/>
        </w:rPr>
        <w:t xml:space="preserve">al and neuronal tumour types have been added </w:t>
      </w:r>
    </w:p>
    <w:p w14:paraId="49E1A87F" w14:textId="77777777" w:rsidR="00762925" w:rsidRPr="00EE5ED8" w:rsidRDefault="00762925" w:rsidP="00762925">
      <w:pPr>
        <w:pStyle w:val="TableFooter"/>
        <w:numPr>
          <w:ilvl w:val="0"/>
          <w:numId w:val="17"/>
        </w:numPr>
        <w:rPr>
          <w:rFonts w:ascii="Franklin Gothic Book" w:hAnsi="Franklin Gothic Book"/>
          <w:sz w:val="22"/>
          <w:szCs w:val="22"/>
        </w:rPr>
      </w:pPr>
      <w:r w:rsidRPr="00EE5ED8">
        <w:rPr>
          <w:rFonts w:ascii="Franklin Gothic Book" w:hAnsi="Franklin Gothic Book"/>
          <w:sz w:val="22"/>
          <w:szCs w:val="22"/>
        </w:rPr>
        <w:t xml:space="preserve">a layered reporting approach is now recommended, incorporating an integrated diagnosis (histological and molecular diagnosis) with histopathological classification, </w:t>
      </w:r>
      <w:bookmarkStart w:id="13" w:name="_Hlk97117114"/>
      <w:r w:rsidRPr="00EE5ED8">
        <w:rPr>
          <w:rFonts w:ascii="Franklin Gothic Book" w:hAnsi="Franklin Gothic Book"/>
          <w:sz w:val="22"/>
          <w:szCs w:val="22"/>
        </w:rPr>
        <w:t>CNS WHO grade and any defining molecular information</w:t>
      </w:r>
      <w:bookmarkEnd w:id="13"/>
      <w:r w:rsidRPr="00EE5ED8">
        <w:rPr>
          <w:rFonts w:ascii="Franklin Gothic Book" w:hAnsi="Franklin Gothic Book"/>
          <w:sz w:val="22"/>
          <w:szCs w:val="22"/>
        </w:rPr>
        <w:t xml:space="preserve">. </w:t>
      </w:r>
    </w:p>
    <w:p w14:paraId="7109F7E9" w14:textId="7C136F46" w:rsidR="00762925" w:rsidRDefault="00762925" w:rsidP="00762925">
      <w:pPr>
        <w:pStyle w:val="Heading3"/>
      </w:pPr>
      <w:bookmarkStart w:id="14" w:name="_Toc97723462"/>
      <w:r>
        <w:t xml:space="preserve">Molecular profiling, </w:t>
      </w:r>
      <w:r w:rsidR="00AE4007">
        <w:t>predictive</w:t>
      </w:r>
      <w:r>
        <w:t xml:space="preserve"> biomarkers and treatment options</w:t>
      </w:r>
      <w:bookmarkEnd w:id="14"/>
    </w:p>
    <w:p w14:paraId="26789570" w14:textId="06AD87A0" w:rsidR="00762925" w:rsidRDefault="00762925" w:rsidP="00762925">
      <w:pPr>
        <w:jc w:val="both"/>
        <w:rPr>
          <w:rFonts w:ascii="Franklin Gothic Book" w:hAnsi="Franklin Gothic Book" w:cstheme="minorHAnsi"/>
          <w:iCs/>
          <w:sz w:val="22"/>
          <w:szCs w:val="22"/>
        </w:rPr>
      </w:pPr>
      <w:r w:rsidRPr="00070DA0">
        <w:rPr>
          <w:rFonts w:ascii="Franklin Gothic Book" w:hAnsi="Franklin Gothic Book" w:cstheme="minorHAnsi"/>
          <w:iCs/>
          <w:sz w:val="22"/>
          <w:szCs w:val="22"/>
        </w:rPr>
        <w:t xml:space="preserve">While surgery, chemotherapy and radiation therapy form the basis of treatment, </w:t>
      </w:r>
      <w:r>
        <w:rPr>
          <w:rFonts w:ascii="Franklin Gothic Book" w:hAnsi="Franklin Gothic Book" w:cstheme="minorHAnsi"/>
          <w:iCs/>
          <w:sz w:val="22"/>
          <w:szCs w:val="22"/>
        </w:rPr>
        <w:t>recently</w:t>
      </w:r>
      <w:r w:rsidRPr="00070DA0">
        <w:rPr>
          <w:rFonts w:ascii="Franklin Gothic Book" w:hAnsi="Franklin Gothic Book" w:cstheme="minorHAnsi"/>
          <w:iCs/>
          <w:sz w:val="22"/>
          <w:szCs w:val="22"/>
        </w:rPr>
        <w:t xml:space="preserve"> approved </w:t>
      </w:r>
      <w:r>
        <w:rPr>
          <w:rFonts w:ascii="Franklin Gothic Book" w:hAnsi="Franklin Gothic Book" w:cstheme="minorHAnsi"/>
          <w:iCs/>
          <w:sz w:val="22"/>
          <w:szCs w:val="22"/>
        </w:rPr>
        <w:t xml:space="preserve">targeted </w:t>
      </w:r>
      <w:r w:rsidRPr="00070DA0">
        <w:rPr>
          <w:rFonts w:ascii="Franklin Gothic Book" w:hAnsi="Franklin Gothic Book" w:cstheme="minorHAnsi"/>
          <w:iCs/>
          <w:sz w:val="22"/>
          <w:szCs w:val="22"/>
        </w:rPr>
        <w:t>therapies include the tumour-agnostic approvals of NTRK inhibitors</w:t>
      </w:r>
      <w:r>
        <w:rPr>
          <w:rFonts w:ascii="Franklin Gothic Book" w:hAnsi="Franklin Gothic Book" w:cstheme="minorHAnsi"/>
          <w:iCs/>
          <w:sz w:val="22"/>
          <w:szCs w:val="22"/>
        </w:rPr>
        <w:t>,</w:t>
      </w:r>
      <w:r w:rsidRPr="00070DA0">
        <w:rPr>
          <w:rFonts w:ascii="Franklin Gothic Book" w:hAnsi="Franklin Gothic Book" w:cstheme="minorHAnsi"/>
          <w:iCs/>
          <w:sz w:val="22"/>
          <w:szCs w:val="22"/>
        </w:rPr>
        <w:t xml:space="preserve"> which are reported to have a</w:t>
      </w:r>
      <w:r>
        <w:rPr>
          <w:rFonts w:ascii="Franklin Gothic Book" w:hAnsi="Franklin Gothic Book" w:cstheme="minorHAnsi"/>
          <w:iCs/>
          <w:sz w:val="22"/>
          <w:szCs w:val="22"/>
        </w:rPr>
        <w:t>n</w:t>
      </w:r>
      <w:r w:rsidRPr="00070DA0">
        <w:rPr>
          <w:rFonts w:ascii="Franklin Gothic Book" w:hAnsi="Franklin Gothic Book" w:cstheme="minorHAnsi"/>
          <w:iCs/>
          <w:sz w:val="22"/>
          <w:szCs w:val="22"/>
        </w:rPr>
        <w:t xml:space="preserve"> overall response rate</w:t>
      </w:r>
      <w:r>
        <w:rPr>
          <w:rFonts w:ascii="Franklin Gothic Book" w:hAnsi="Franklin Gothic Book" w:cstheme="minorHAnsi"/>
          <w:iCs/>
          <w:sz w:val="22"/>
          <w:szCs w:val="22"/>
        </w:rPr>
        <w:t xml:space="preserve"> in 5/24 (</w:t>
      </w:r>
      <w:r w:rsidRPr="00070DA0">
        <w:rPr>
          <w:rFonts w:ascii="Franklin Gothic Book" w:hAnsi="Franklin Gothic Book" w:cstheme="minorHAnsi"/>
          <w:iCs/>
          <w:sz w:val="22"/>
          <w:szCs w:val="22"/>
        </w:rPr>
        <w:t>2</w:t>
      </w:r>
      <w:r>
        <w:rPr>
          <w:rFonts w:ascii="Franklin Gothic Book" w:hAnsi="Franklin Gothic Book" w:cstheme="minorHAnsi"/>
          <w:iCs/>
          <w:sz w:val="22"/>
          <w:szCs w:val="22"/>
        </w:rPr>
        <w:t>1</w:t>
      </w:r>
      <w:r w:rsidRPr="00070DA0">
        <w:rPr>
          <w:rFonts w:ascii="Franklin Gothic Book" w:hAnsi="Franklin Gothic Book" w:cstheme="minorHAnsi"/>
          <w:iCs/>
          <w:sz w:val="22"/>
          <w:szCs w:val="22"/>
        </w:rPr>
        <w:t>%</w:t>
      </w:r>
      <w:r>
        <w:rPr>
          <w:rFonts w:ascii="Franklin Gothic Book" w:hAnsi="Franklin Gothic Book" w:cstheme="minorHAnsi"/>
          <w:iCs/>
          <w:sz w:val="22"/>
          <w:szCs w:val="22"/>
        </w:rPr>
        <w:t>)</w:t>
      </w:r>
      <w:r w:rsidRPr="00070DA0">
        <w:rPr>
          <w:rFonts w:ascii="Franklin Gothic Book" w:hAnsi="Franklin Gothic Book" w:cstheme="minorHAnsi"/>
          <w:iCs/>
          <w:sz w:val="22"/>
          <w:szCs w:val="22"/>
        </w:rPr>
        <w:t xml:space="preserve"> </w:t>
      </w:r>
      <w:r>
        <w:rPr>
          <w:rFonts w:ascii="Franklin Gothic Book" w:hAnsi="Franklin Gothic Book" w:cstheme="minorHAnsi"/>
          <w:iCs/>
          <w:sz w:val="22"/>
          <w:szCs w:val="22"/>
        </w:rPr>
        <w:t>patients including</w:t>
      </w:r>
      <w:r w:rsidRPr="00070DA0">
        <w:rPr>
          <w:rFonts w:ascii="Franklin Gothic Book" w:hAnsi="Franklin Gothic Book" w:cstheme="minorHAnsi"/>
          <w:iCs/>
          <w:sz w:val="22"/>
          <w:szCs w:val="22"/>
        </w:rPr>
        <w:t xml:space="preserve"> 2</w:t>
      </w:r>
      <w:r>
        <w:rPr>
          <w:rFonts w:ascii="Franklin Gothic Book" w:hAnsi="Franklin Gothic Book" w:cstheme="minorHAnsi"/>
          <w:iCs/>
          <w:sz w:val="22"/>
          <w:szCs w:val="22"/>
        </w:rPr>
        <w:t>/24 (8%) with</w:t>
      </w:r>
      <w:r w:rsidRPr="00070DA0">
        <w:rPr>
          <w:rFonts w:ascii="Franklin Gothic Book" w:hAnsi="Franklin Gothic Book" w:cstheme="minorHAnsi"/>
          <w:iCs/>
          <w:sz w:val="22"/>
          <w:szCs w:val="22"/>
        </w:rPr>
        <w:t xml:space="preserve"> complete response</w:t>
      </w:r>
      <w:bookmarkStart w:id="15" w:name="_Ref96321358"/>
      <w:r>
        <w:rPr>
          <w:rFonts w:ascii="Franklin Gothic Book" w:hAnsi="Franklin Gothic Book" w:cstheme="minorHAnsi"/>
          <w:iCs/>
          <w:sz w:val="22"/>
          <w:szCs w:val="22"/>
        </w:rPr>
        <w:t>s</w:t>
      </w:r>
      <w:r w:rsidRPr="00070DA0">
        <w:rPr>
          <w:rStyle w:val="FootnoteReference"/>
          <w:rFonts w:ascii="Franklin Gothic Book" w:hAnsi="Franklin Gothic Book" w:cstheme="minorHAnsi"/>
          <w:iCs/>
          <w:sz w:val="22"/>
          <w:szCs w:val="22"/>
        </w:rPr>
        <w:footnoteReference w:id="13"/>
      </w:r>
      <w:bookmarkEnd w:id="15"/>
      <w:r w:rsidRPr="00070DA0">
        <w:rPr>
          <w:rFonts w:ascii="Franklin Gothic Book" w:hAnsi="Franklin Gothic Book" w:cstheme="minorHAnsi"/>
          <w:iCs/>
          <w:sz w:val="22"/>
          <w:szCs w:val="22"/>
        </w:rPr>
        <w:t>, while BRAF inhibitors have been reported to have encouraging results, particularly in paediatric or young adult glioblastomas.</w:t>
      </w:r>
      <w:r w:rsidRPr="00DB193C">
        <w:rPr>
          <w:rFonts w:ascii="Franklin Gothic Book" w:hAnsi="Franklin Gothic Book" w:cstheme="minorHAnsi"/>
          <w:iCs/>
          <w:sz w:val="22"/>
          <w:szCs w:val="22"/>
          <w:vertAlign w:val="superscript"/>
        </w:rPr>
        <w:fldChar w:fldCharType="begin"/>
      </w:r>
      <w:r w:rsidRPr="00DB193C">
        <w:rPr>
          <w:rFonts w:ascii="Franklin Gothic Book" w:hAnsi="Franklin Gothic Book" w:cstheme="minorHAnsi"/>
          <w:iCs/>
          <w:sz w:val="22"/>
          <w:szCs w:val="22"/>
          <w:vertAlign w:val="superscript"/>
        </w:rPr>
        <w:instrText xml:space="preserve"> NOTEREF _Ref95585588 \h  \* MERGEFORMAT </w:instrText>
      </w:r>
      <w:r w:rsidRPr="00DB193C">
        <w:rPr>
          <w:rFonts w:ascii="Franklin Gothic Book" w:hAnsi="Franklin Gothic Book" w:cstheme="minorHAnsi"/>
          <w:iCs/>
          <w:sz w:val="22"/>
          <w:szCs w:val="22"/>
          <w:vertAlign w:val="superscript"/>
        </w:rPr>
      </w:r>
      <w:r w:rsidRPr="00DB193C">
        <w:rPr>
          <w:rFonts w:ascii="Franklin Gothic Book" w:hAnsi="Franklin Gothic Book" w:cstheme="minorHAnsi"/>
          <w:iCs/>
          <w:sz w:val="22"/>
          <w:szCs w:val="22"/>
          <w:vertAlign w:val="superscript"/>
        </w:rPr>
        <w:fldChar w:fldCharType="separate"/>
      </w:r>
      <w:r w:rsidR="00C00851">
        <w:rPr>
          <w:rFonts w:ascii="Franklin Gothic Book" w:hAnsi="Franklin Gothic Book" w:cstheme="minorHAnsi"/>
          <w:iCs/>
          <w:sz w:val="22"/>
          <w:szCs w:val="22"/>
          <w:vertAlign w:val="superscript"/>
        </w:rPr>
        <w:t>11</w:t>
      </w:r>
      <w:r w:rsidRPr="00DB193C">
        <w:rPr>
          <w:rFonts w:ascii="Franklin Gothic Book" w:hAnsi="Franklin Gothic Book" w:cstheme="minorHAnsi"/>
          <w:iCs/>
          <w:sz w:val="22"/>
          <w:szCs w:val="22"/>
          <w:vertAlign w:val="superscript"/>
        </w:rPr>
        <w:fldChar w:fldCharType="end"/>
      </w:r>
      <w:r>
        <w:rPr>
          <w:rFonts w:ascii="Franklin Gothic Book" w:hAnsi="Franklin Gothic Book" w:cstheme="minorHAnsi"/>
          <w:iCs/>
          <w:sz w:val="22"/>
          <w:szCs w:val="22"/>
          <w:vertAlign w:val="superscript"/>
        </w:rPr>
        <w:t xml:space="preserve"> </w:t>
      </w:r>
      <w:r>
        <w:rPr>
          <w:rFonts w:ascii="Franklin Gothic Book" w:hAnsi="Franklin Gothic Book" w:cstheme="minorHAnsi"/>
          <w:iCs/>
          <w:sz w:val="22"/>
          <w:szCs w:val="22"/>
        </w:rPr>
        <w:t xml:space="preserve">NGS panels for identification of </w:t>
      </w:r>
      <w:r w:rsidR="00AE4007">
        <w:rPr>
          <w:rFonts w:ascii="Franklin Gothic Book" w:hAnsi="Franklin Gothic Book" w:cstheme="minorHAnsi"/>
          <w:iCs/>
          <w:sz w:val="22"/>
          <w:szCs w:val="22"/>
        </w:rPr>
        <w:t>predictive</w:t>
      </w:r>
      <w:r>
        <w:rPr>
          <w:rFonts w:ascii="Franklin Gothic Book" w:hAnsi="Franklin Gothic Book" w:cstheme="minorHAnsi"/>
          <w:iCs/>
          <w:sz w:val="22"/>
          <w:szCs w:val="22"/>
        </w:rPr>
        <w:t xml:space="preserve"> targets in solid tumours</w:t>
      </w:r>
      <w:r>
        <w:rPr>
          <w:rFonts w:ascii="Franklin Gothic Book" w:hAnsi="Franklin Gothic Book" w:cstheme="minorHAnsi"/>
          <w:iCs/>
          <w:sz w:val="22"/>
          <w:szCs w:val="22"/>
        </w:rPr>
        <w:fldChar w:fldCharType="begin"/>
      </w:r>
      <w:r>
        <w:rPr>
          <w:rFonts w:ascii="Franklin Gothic Book" w:hAnsi="Franklin Gothic Book" w:cstheme="minorHAnsi"/>
          <w:iCs/>
          <w:sz w:val="22"/>
          <w:szCs w:val="22"/>
        </w:rPr>
        <w:instrText xml:space="preserve"> NOTEREF _Ref96878916 \h  \* MERGEFORMAT </w:instrText>
      </w:r>
      <w:r>
        <w:rPr>
          <w:rFonts w:ascii="Franklin Gothic Book" w:hAnsi="Franklin Gothic Book" w:cstheme="minorHAnsi"/>
          <w:iCs/>
          <w:sz w:val="22"/>
          <w:szCs w:val="22"/>
        </w:rPr>
      </w:r>
      <w:r>
        <w:rPr>
          <w:rFonts w:ascii="Franklin Gothic Book" w:hAnsi="Franklin Gothic Book" w:cstheme="minorHAnsi"/>
          <w:iCs/>
          <w:sz w:val="22"/>
          <w:szCs w:val="22"/>
        </w:rPr>
        <w:fldChar w:fldCharType="separate"/>
      </w:r>
      <w:r w:rsidR="00C00851" w:rsidRPr="00C00851">
        <w:rPr>
          <w:rFonts w:ascii="Franklin Gothic Book" w:hAnsi="Franklin Gothic Book" w:cstheme="minorHAnsi"/>
          <w:iCs/>
          <w:sz w:val="22"/>
          <w:szCs w:val="22"/>
          <w:vertAlign w:val="superscript"/>
        </w:rPr>
        <w:t>13</w:t>
      </w:r>
      <w:r>
        <w:rPr>
          <w:rFonts w:ascii="Franklin Gothic Book" w:hAnsi="Franklin Gothic Book" w:cstheme="minorHAnsi"/>
          <w:iCs/>
          <w:sz w:val="22"/>
          <w:szCs w:val="22"/>
        </w:rPr>
        <w:fldChar w:fldCharType="end"/>
      </w:r>
      <w:r>
        <w:rPr>
          <w:rFonts w:ascii="Franklin Gothic Book" w:hAnsi="Franklin Gothic Book" w:cstheme="minorHAnsi"/>
          <w:iCs/>
          <w:sz w:val="22"/>
          <w:szCs w:val="22"/>
        </w:rPr>
        <w:t xml:space="preserve"> or designed specifically for brain tumours</w:t>
      </w:r>
      <w:r>
        <w:rPr>
          <w:rFonts w:ascii="Franklin Gothic Book" w:hAnsi="Franklin Gothic Book" w:cstheme="minorHAnsi"/>
          <w:iCs/>
          <w:sz w:val="22"/>
          <w:szCs w:val="22"/>
        </w:rPr>
        <w:fldChar w:fldCharType="begin"/>
      </w:r>
      <w:r>
        <w:rPr>
          <w:rFonts w:ascii="Franklin Gothic Book" w:hAnsi="Franklin Gothic Book" w:cstheme="minorHAnsi"/>
          <w:iCs/>
          <w:sz w:val="22"/>
          <w:szCs w:val="22"/>
        </w:rPr>
        <w:instrText xml:space="preserve"> NOTEREF _Ref96879113 \h  \* MERGEFORMAT </w:instrText>
      </w:r>
      <w:r>
        <w:rPr>
          <w:rFonts w:ascii="Franklin Gothic Book" w:hAnsi="Franklin Gothic Book" w:cstheme="minorHAnsi"/>
          <w:iCs/>
          <w:sz w:val="22"/>
          <w:szCs w:val="22"/>
        </w:rPr>
      </w:r>
      <w:r>
        <w:rPr>
          <w:rFonts w:ascii="Franklin Gothic Book" w:hAnsi="Franklin Gothic Book" w:cstheme="minorHAnsi"/>
          <w:iCs/>
          <w:sz w:val="22"/>
          <w:szCs w:val="22"/>
        </w:rPr>
        <w:fldChar w:fldCharType="separate"/>
      </w:r>
      <w:r w:rsidR="00C00851" w:rsidRPr="00C00851">
        <w:rPr>
          <w:rFonts w:ascii="Franklin Gothic Book" w:hAnsi="Franklin Gothic Book" w:cstheme="minorHAnsi"/>
          <w:iCs/>
          <w:sz w:val="22"/>
          <w:szCs w:val="22"/>
          <w:vertAlign w:val="superscript"/>
        </w:rPr>
        <w:t>14</w:t>
      </w:r>
      <w:r>
        <w:rPr>
          <w:rFonts w:ascii="Franklin Gothic Book" w:hAnsi="Franklin Gothic Book" w:cstheme="minorHAnsi"/>
          <w:iCs/>
          <w:sz w:val="22"/>
          <w:szCs w:val="22"/>
        </w:rPr>
        <w:fldChar w:fldCharType="end"/>
      </w:r>
      <w:r>
        <w:rPr>
          <w:rFonts w:ascii="Franklin Gothic Book" w:hAnsi="Franklin Gothic Book" w:cstheme="minorHAnsi"/>
          <w:iCs/>
          <w:sz w:val="22"/>
          <w:szCs w:val="22"/>
        </w:rPr>
        <w:t xml:space="preserve"> have been used to identify </w:t>
      </w:r>
      <w:r w:rsidR="00AE4007">
        <w:rPr>
          <w:rFonts w:ascii="Franklin Gothic Book" w:hAnsi="Franklin Gothic Book" w:cstheme="minorHAnsi"/>
          <w:iCs/>
          <w:sz w:val="22"/>
          <w:szCs w:val="22"/>
        </w:rPr>
        <w:t>predictive</w:t>
      </w:r>
      <w:r>
        <w:rPr>
          <w:rFonts w:ascii="Franklin Gothic Book" w:hAnsi="Franklin Gothic Book" w:cstheme="minorHAnsi"/>
          <w:iCs/>
          <w:sz w:val="22"/>
          <w:szCs w:val="22"/>
        </w:rPr>
        <w:t xml:space="preserve"> biomarkers to determine eligibility for </w:t>
      </w:r>
      <w:r>
        <w:rPr>
          <w:rFonts w:ascii="Franklin Gothic Book" w:hAnsi="Franklin Gothic Book"/>
          <w:sz w:val="22"/>
          <w:szCs w:val="22"/>
          <w:lang w:eastAsia="en-US"/>
        </w:rPr>
        <w:t>clinical trials or for off-label usage with detection rates of 31-</w:t>
      </w:r>
      <w:r>
        <w:rPr>
          <w:rFonts w:ascii="Franklin Gothic Book" w:hAnsi="Franklin Gothic Book"/>
          <w:sz w:val="22"/>
          <w:szCs w:val="22"/>
          <w:lang w:eastAsia="en-US"/>
        </w:rPr>
        <w:lastRenderedPageBreak/>
        <w:t>40%</w:t>
      </w:r>
      <w:bookmarkStart w:id="16" w:name="_Ref96878916"/>
      <w:r>
        <w:rPr>
          <w:rStyle w:val="FootnoteReference"/>
          <w:rFonts w:ascii="Franklin Gothic Book" w:hAnsi="Franklin Gothic Book"/>
          <w:sz w:val="22"/>
          <w:szCs w:val="22"/>
          <w:lang w:eastAsia="en-US"/>
        </w:rPr>
        <w:footnoteReference w:id="14"/>
      </w:r>
      <w:bookmarkEnd w:id="16"/>
      <w:r>
        <w:rPr>
          <w:rFonts w:ascii="Franklin Gothic Book" w:hAnsi="Franklin Gothic Book"/>
          <w:sz w:val="22"/>
          <w:szCs w:val="22"/>
          <w:vertAlign w:val="superscript"/>
          <w:lang w:eastAsia="en-US"/>
        </w:rPr>
        <w:t>,</w:t>
      </w:r>
      <w:bookmarkStart w:id="17" w:name="_Ref96879113"/>
      <w:r>
        <w:rPr>
          <w:rStyle w:val="FootnoteReference"/>
          <w:rFonts w:ascii="Franklin Gothic Book" w:hAnsi="Franklin Gothic Book"/>
          <w:sz w:val="22"/>
          <w:szCs w:val="22"/>
          <w:lang w:eastAsia="en-US"/>
        </w:rPr>
        <w:footnoteReference w:id="15"/>
      </w:r>
      <w:bookmarkEnd w:id="17"/>
      <w:r>
        <w:rPr>
          <w:rFonts w:ascii="Franklin Gothic Book" w:hAnsi="Franklin Gothic Book"/>
          <w:sz w:val="22"/>
          <w:szCs w:val="22"/>
          <w:lang w:eastAsia="en-US"/>
        </w:rPr>
        <w:t>, and either complete or partial responses per Response Assessment in Neuro-Oncology criteria to matched targeted therapies of 43%</w:t>
      </w:r>
      <w:r>
        <w:rPr>
          <w:rFonts w:ascii="Franklin Gothic Book" w:hAnsi="Franklin Gothic Book"/>
          <w:sz w:val="22"/>
          <w:szCs w:val="22"/>
          <w:lang w:eastAsia="en-US"/>
        </w:rPr>
        <w:fldChar w:fldCharType="begin"/>
      </w:r>
      <w:r>
        <w:rPr>
          <w:rFonts w:ascii="Franklin Gothic Book" w:hAnsi="Franklin Gothic Book"/>
          <w:sz w:val="22"/>
          <w:szCs w:val="22"/>
          <w:lang w:eastAsia="en-US"/>
        </w:rPr>
        <w:instrText xml:space="preserve"> NOTEREF _Ref96878916 \h  \* MERGEFORMAT </w:instrText>
      </w:r>
      <w:r>
        <w:rPr>
          <w:rFonts w:ascii="Franklin Gothic Book" w:hAnsi="Franklin Gothic Book"/>
          <w:sz w:val="22"/>
          <w:szCs w:val="22"/>
          <w:lang w:eastAsia="en-US"/>
        </w:rPr>
      </w:r>
      <w:r>
        <w:rPr>
          <w:rFonts w:ascii="Franklin Gothic Book" w:hAnsi="Franklin Gothic Book"/>
          <w:sz w:val="22"/>
          <w:szCs w:val="22"/>
          <w:lang w:eastAsia="en-US"/>
        </w:rPr>
        <w:fldChar w:fldCharType="separate"/>
      </w:r>
      <w:r w:rsidR="00C00851" w:rsidRPr="00C00851">
        <w:rPr>
          <w:rFonts w:ascii="Franklin Gothic Book" w:hAnsi="Franklin Gothic Book"/>
          <w:sz w:val="22"/>
          <w:szCs w:val="22"/>
          <w:vertAlign w:val="superscript"/>
          <w:lang w:eastAsia="en-US"/>
        </w:rPr>
        <w:t>13</w:t>
      </w:r>
      <w:r>
        <w:rPr>
          <w:rFonts w:ascii="Franklin Gothic Book" w:hAnsi="Franklin Gothic Book"/>
          <w:sz w:val="22"/>
          <w:szCs w:val="22"/>
          <w:lang w:eastAsia="en-US"/>
        </w:rPr>
        <w:fldChar w:fldCharType="end"/>
      </w:r>
      <w:r>
        <w:rPr>
          <w:rFonts w:ascii="Franklin Gothic Book" w:hAnsi="Franklin Gothic Book"/>
          <w:sz w:val="22"/>
          <w:szCs w:val="22"/>
          <w:lang w:eastAsia="en-US"/>
        </w:rPr>
        <w:t>.</w:t>
      </w:r>
    </w:p>
    <w:p w14:paraId="40AA6333" w14:textId="77777777" w:rsidR="00762925" w:rsidRPr="0036005D" w:rsidRDefault="00762925" w:rsidP="00867CDF">
      <w:pPr>
        <w:spacing w:before="240"/>
        <w:jc w:val="both"/>
        <w:rPr>
          <w:rFonts w:ascii="Franklin Gothic Book" w:hAnsi="Franklin Gothic Book" w:cstheme="minorHAnsi"/>
          <w:iCs/>
          <w:sz w:val="22"/>
          <w:szCs w:val="22"/>
        </w:rPr>
      </w:pPr>
      <w:r w:rsidRPr="00070DA0">
        <w:rPr>
          <w:rFonts w:ascii="Franklin Gothic Book" w:hAnsi="Franklin Gothic Book" w:cstheme="minorHAnsi"/>
          <w:iCs/>
          <w:sz w:val="22"/>
          <w:szCs w:val="22"/>
        </w:rPr>
        <w:t xml:space="preserve">This application </w:t>
      </w:r>
      <w:r>
        <w:rPr>
          <w:rFonts w:ascii="Franklin Gothic Book" w:hAnsi="Franklin Gothic Book" w:cstheme="minorHAnsi"/>
          <w:iCs/>
          <w:sz w:val="22"/>
          <w:szCs w:val="22"/>
        </w:rPr>
        <w:t>proposes</w:t>
      </w:r>
      <w:r w:rsidRPr="00070DA0">
        <w:rPr>
          <w:rFonts w:ascii="Franklin Gothic Book" w:hAnsi="Franklin Gothic Book" w:cstheme="minorHAnsi"/>
          <w:iCs/>
          <w:sz w:val="22"/>
          <w:szCs w:val="22"/>
        </w:rPr>
        <w:t xml:space="preserve"> </w:t>
      </w:r>
      <w:r>
        <w:rPr>
          <w:rFonts w:ascii="Franklin Gothic Book" w:hAnsi="Franklin Gothic Book" w:cstheme="minorHAnsi"/>
          <w:iCs/>
          <w:sz w:val="22"/>
          <w:szCs w:val="22"/>
        </w:rPr>
        <w:t xml:space="preserve">public </w:t>
      </w:r>
      <w:r w:rsidRPr="00070DA0">
        <w:rPr>
          <w:rFonts w:ascii="Franklin Gothic Book" w:hAnsi="Franklin Gothic Book" w:cstheme="minorHAnsi"/>
          <w:iCs/>
          <w:sz w:val="22"/>
          <w:szCs w:val="22"/>
        </w:rPr>
        <w:t>fund</w:t>
      </w:r>
      <w:r>
        <w:rPr>
          <w:rFonts w:ascii="Franklin Gothic Book" w:hAnsi="Franklin Gothic Book" w:cstheme="minorHAnsi"/>
          <w:iCs/>
          <w:sz w:val="22"/>
          <w:szCs w:val="22"/>
        </w:rPr>
        <w:t>ing</w:t>
      </w:r>
      <w:r w:rsidRPr="00070DA0">
        <w:rPr>
          <w:rFonts w:ascii="Franklin Gothic Book" w:hAnsi="Franklin Gothic Book" w:cstheme="minorHAnsi"/>
          <w:iCs/>
          <w:sz w:val="22"/>
          <w:szCs w:val="22"/>
        </w:rPr>
        <w:t xml:space="preserve"> </w:t>
      </w:r>
      <w:r>
        <w:rPr>
          <w:rFonts w:ascii="Franklin Gothic Book" w:hAnsi="Franklin Gothic Book" w:cstheme="minorHAnsi"/>
          <w:iCs/>
          <w:sz w:val="22"/>
          <w:szCs w:val="22"/>
        </w:rPr>
        <w:t xml:space="preserve">for </w:t>
      </w:r>
      <w:r w:rsidRPr="00070DA0">
        <w:rPr>
          <w:rFonts w:ascii="Franklin Gothic Book" w:hAnsi="Franklin Gothic Book" w:cstheme="minorHAnsi"/>
          <w:iCs/>
          <w:sz w:val="22"/>
          <w:szCs w:val="22"/>
        </w:rPr>
        <w:t>multigene testing of up to 25 genes within a panel</w:t>
      </w:r>
      <w:r>
        <w:rPr>
          <w:rFonts w:ascii="Franklin Gothic Book" w:hAnsi="Franklin Gothic Book" w:cstheme="minorHAnsi"/>
          <w:iCs/>
          <w:sz w:val="22"/>
          <w:szCs w:val="22"/>
        </w:rPr>
        <w:t>, primarily</w:t>
      </w:r>
      <w:r w:rsidRPr="00070DA0">
        <w:rPr>
          <w:rFonts w:ascii="Franklin Gothic Book" w:hAnsi="Franklin Gothic Book" w:cstheme="minorHAnsi"/>
          <w:iCs/>
          <w:sz w:val="22"/>
          <w:szCs w:val="22"/>
        </w:rPr>
        <w:t xml:space="preserve"> to align with the</w:t>
      </w:r>
      <w:r>
        <w:rPr>
          <w:rFonts w:ascii="Franklin Gothic Book" w:hAnsi="Franklin Gothic Book" w:cstheme="minorHAnsi"/>
          <w:iCs/>
          <w:sz w:val="22"/>
          <w:szCs w:val="22"/>
        </w:rPr>
        <w:t xml:space="preserve"> WHO</w:t>
      </w:r>
      <w:r w:rsidRPr="00070DA0">
        <w:rPr>
          <w:rFonts w:ascii="Franklin Gothic Book" w:hAnsi="Franklin Gothic Book" w:cstheme="minorHAnsi"/>
          <w:iCs/>
          <w:sz w:val="22"/>
          <w:szCs w:val="22"/>
        </w:rPr>
        <w:t xml:space="preserve"> CNS5</w:t>
      </w:r>
      <w:r>
        <w:rPr>
          <w:rFonts w:ascii="Franklin Gothic Book" w:hAnsi="Franklin Gothic Book" w:cstheme="minorHAnsi"/>
          <w:iCs/>
          <w:sz w:val="22"/>
          <w:szCs w:val="22"/>
        </w:rPr>
        <w:t xml:space="preserve"> diagnostic criteria</w:t>
      </w:r>
      <w:r w:rsidRPr="00070DA0">
        <w:rPr>
          <w:rFonts w:ascii="Franklin Gothic Book" w:hAnsi="Franklin Gothic Book" w:cstheme="minorHAnsi"/>
          <w:iCs/>
          <w:sz w:val="22"/>
          <w:szCs w:val="22"/>
        </w:rPr>
        <w:t xml:space="preserve"> for patients with glial tumours including glioblastomas.</w:t>
      </w:r>
      <w:r>
        <w:rPr>
          <w:rFonts w:ascii="Franklin Gothic Book" w:hAnsi="Franklin Gothic Book" w:cstheme="minorHAnsi"/>
          <w:iCs/>
          <w:sz w:val="22"/>
          <w:szCs w:val="22"/>
        </w:rPr>
        <w:t xml:space="preserve"> This builds on Application 1527, which was previously supported by MSAC</w:t>
      </w:r>
      <w:r>
        <w:rPr>
          <w:rFonts w:ascii="Franklin Gothic Book" w:hAnsi="Franklin Gothic Book" w:cstheme="minorHAnsi"/>
          <w:color w:val="222222"/>
          <w:sz w:val="22"/>
          <w:szCs w:val="22"/>
          <w:shd w:val="clear" w:color="auto" w:fill="FFFFFF"/>
        </w:rPr>
        <w:t xml:space="preserve"> and led to</w:t>
      </w:r>
      <w:r w:rsidRPr="00CB73FF">
        <w:rPr>
          <w:rFonts w:ascii="Franklin Gothic Book" w:hAnsi="Franklin Gothic Book" w:cstheme="minorHAnsi"/>
          <w:color w:val="222222"/>
          <w:sz w:val="22"/>
          <w:szCs w:val="22"/>
          <w:shd w:val="clear" w:color="auto" w:fill="FFFFFF"/>
        </w:rPr>
        <w:t xml:space="preserve"> </w:t>
      </w:r>
      <w:r>
        <w:rPr>
          <w:rFonts w:ascii="Franklin Gothic Book" w:hAnsi="Franklin Gothic Book" w:cstheme="minorHAnsi"/>
          <w:color w:val="222222"/>
          <w:sz w:val="22"/>
          <w:szCs w:val="22"/>
          <w:shd w:val="clear" w:color="auto" w:fill="FFFFFF"/>
        </w:rPr>
        <w:t xml:space="preserve">inclusion in the </w:t>
      </w:r>
      <w:r w:rsidRPr="00CB73FF">
        <w:rPr>
          <w:rFonts w:ascii="Franklin Gothic Book" w:hAnsi="Franklin Gothic Book" w:cstheme="minorHAnsi"/>
          <w:color w:val="222222"/>
          <w:sz w:val="22"/>
          <w:szCs w:val="22"/>
          <w:shd w:val="clear" w:color="auto" w:fill="FFFFFF"/>
        </w:rPr>
        <w:t xml:space="preserve">MBS </w:t>
      </w:r>
      <w:r>
        <w:rPr>
          <w:rFonts w:ascii="Franklin Gothic Book" w:hAnsi="Franklin Gothic Book" w:cstheme="minorHAnsi"/>
          <w:color w:val="222222"/>
          <w:sz w:val="22"/>
          <w:szCs w:val="22"/>
          <w:shd w:val="clear" w:color="auto" w:fill="FFFFFF"/>
        </w:rPr>
        <w:t>of</w:t>
      </w:r>
      <w:r w:rsidRPr="00CB73FF">
        <w:rPr>
          <w:rFonts w:ascii="Franklin Gothic Book" w:hAnsi="Franklin Gothic Book" w:cstheme="minorHAnsi"/>
          <w:color w:val="222222"/>
          <w:sz w:val="22"/>
          <w:szCs w:val="22"/>
          <w:shd w:val="clear" w:color="auto" w:fill="FFFFFF"/>
        </w:rPr>
        <w:t xml:space="preserve"> </w:t>
      </w:r>
      <w:r>
        <w:rPr>
          <w:rFonts w:ascii="Franklin Gothic Book" w:hAnsi="Franklin Gothic Book" w:cstheme="minorHAnsi"/>
          <w:color w:val="222222"/>
          <w:sz w:val="22"/>
          <w:szCs w:val="22"/>
          <w:shd w:val="clear" w:color="auto" w:fill="FFFFFF"/>
        </w:rPr>
        <w:t>three single genetic tests</w:t>
      </w:r>
      <w:r w:rsidRPr="00CB73FF">
        <w:rPr>
          <w:rFonts w:ascii="Franklin Gothic Book" w:hAnsi="Franklin Gothic Book" w:cstheme="minorHAnsi"/>
          <w:color w:val="222222"/>
          <w:sz w:val="22"/>
          <w:szCs w:val="22"/>
          <w:shd w:val="clear" w:color="auto" w:fill="FFFFFF"/>
        </w:rPr>
        <w:t xml:space="preserve"> </w:t>
      </w:r>
      <w:r>
        <w:rPr>
          <w:rFonts w:ascii="Franklin Gothic Book" w:hAnsi="Franklin Gothic Book" w:cstheme="minorHAnsi"/>
          <w:color w:val="222222"/>
          <w:sz w:val="22"/>
          <w:szCs w:val="22"/>
          <w:shd w:val="clear" w:color="auto" w:fill="FFFFFF"/>
        </w:rPr>
        <w:t>in gliomas and glioblastomas</w:t>
      </w:r>
      <w:r w:rsidRPr="00CB73FF">
        <w:rPr>
          <w:rFonts w:ascii="Franklin Gothic Book" w:hAnsi="Franklin Gothic Book" w:cstheme="minorHAnsi"/>
          <w:color w:val="222222"/>
          <w:sz w:val="22"/>
          <w:szCs w:val="22"/>
          <w:shd w:val="clear" w:color="auto" w:fill="FFFFFF"/>
        </w:rPr>
        <w:t xml:space="preserve"> </w:t>
      </w:r>
      <w:r w:rsidRPr="00CB73FF">
        <w:rPr>
          <w:rFonts w:ascii="Franklin Gothic Book" w:hAnsi="Franklin Gothic Book" w:cstheme="minorHAnsi"/>
          <w:sz w:val="22"/>
          <w:szCs w:val="22"/>
        </w:rPr>
        <w:t>from 1 May 2020</w:t>
      </w:r>
      <w:r w:rsidRPr="00CB73FF">
        <w:rPr>
          <w:rFonts w:ascii="Franklin Gothic Book" w:hAnsi="Franklin Gothic Book" w:cstheme="minorHAnsi"/>
          <w:color w:val="222222"/>
          <w:sz w:val="22"/>
          <w:szCs w:val="22"/>
          <w:shd w:val="clear" w:color="auto" w:fill="FFFFFF"/>
        </w:rPr>
        <w:t xml:space="preserve"> </w:t>
      </w:r>
      <w:r>
        <w:rPr>
          <w:rFonts w:ascii="Franklin Gothic Book" w:hAnsi="Franklin Gothic Book" w:cstheme="minorHAnsi"/>
          <w:color w:val="222222"/>
          <w:sz w:val="22"/>
          <w:szCs w:val="22"/>
          <w:shd w:val="clear" w:color="auto" w:fill="FFFFFF"/>
        </w:rPr>
        <w:t>(</w:t>
      </w:r>
      <w:r w:rsidRPr="00CB73FF">
        <w:rPr>
          <w:rFonts w:ascii="Franklin Gothic Book" w:hAnsi="Franklin Gothic Book" w:cstheme="minorHAnsi"/>
          <w:sz w:val="22"/>
          <w:szCs w:val="22"/>
        </w:rPr>
        <w:t>MBS items 73371, 73372 or 73373</w:t>
      </w:r>
      <w:r>
        <w:rPr>
          <w:rFonts w:ascii="Franklin Gothic Book" w:hAnsi="Franklin Gothic Book" w:cstheme="minorHAnsi"/>
          <w:sz w:val="22"/>
          <w:szCs w:val="22"/>
        </w:rPr>
        <w:t>).</w:t>
      </w:r>
    </w:p>
    <w:p w14:paraId="63AC6495" w14:textId="7F2BE8EA" w:rsidR="00762925" w:rsidRPr="00CE28E3" w:rsidRDefault="00F94444" w:rsidP="00762925">
      <w:pPr>
        <w:pStyle w:val="Heading2"/>
        <w:numPr>
          <w:ilvl w:val="0"/>
          <w:numId w:val="0"/>
        </w:numPr>
      </w:pPr>
      <w:bookmarkStart w:id="18" w:name="_Toc97723463"/>
      <w:bookmarkEnd w:id="4"/>
      <w:r>
        <w:t>5</w:t>
      </w:r>
      <w:r w:rsidR="00762925">
        <w:t>.</w:t>
      </w:r>
      <w:r w:rsidR="00762925">
        <w:tab/>
      </w:r>
      <w:r w:rsidR="00762925" w:rsidRPr="00CE28E3">
        <w:t>Prerequisites to implementation of any funding advice</w:t>
      </w:r>
      <w:bookmarkEnd w:id="18"/>
    </w:p>
    <w:p w14:paraId="679B85CA" w14:textId="77777777" w:rsidR="00762925" w:rsidRPr="009719A9" w:rsidRDefault="00762925" w:rsidP="00762925">
      <w:pPr>
        <w:pStyle w:val="Instructionaltext"/>
        <w:jc w:val="both"/>
        <w:rPr>
          <w:rFonts w:cstheme="minorHAnsi"/>
          <w:color w:val="000000" w:themeColor="text1"/>
        </w:rPr>
      </w:pPr>
      <w:r w:rsidRPr="009719A9">
        <w:rPr>
          <w:rFonts w:cstheme="minorHAnsi"/>
          <w:color w:val="000000" w:themeColor="text1"/>
        </w:rPr>
        <w:t xml:space="preserve">The proposed technology </w:t>
      </w:r>
      <w:r>
        <w:rPr>
          <w:rFonts w:cstheme="minorHAnsi"/>
          <w:color w:val="000000" w:themeColor="text1"/>
        </w:rPr>
        <w:t>does not</w:t>
      </w:r>
      <w:r w:rsidRPr="009719A9">
        <w:rPr>
          <w:rFonts w:cstheme="minorHAnsi"/>
          <w:color w:val="000000" w:themeColor="text1"/>
        </w:rPr>
        <w:t xml:space="preserve"> include a therapeutic good that requires </w:t>
      </w:r>
      <w:r>
        <w:rPr>
          <w:rFonts w:cstheme="minorHAnsi"/>
          <w:color w:val="000000" w:themeColor="text1"/>
        </w:rPr>
        <w:t>Therapeutic Goods Administration (</w:t>
      </w:r>
      <w:r w:rsidRPr="009719A9">
        <w:rPr>
          <w:rFonts w:cstheme="minorHAnsi"/>
          <w:color w:val="000000" w:themeColor="text1"/>
        </w:rPr>
        <w:t>TGA</w:t>
      </w:r>
      <w:r>
        <w:rPr>
          <w:rFonts w:cstheme="minorHAnsi"/>
          <w:color w:val="000000" w:themeColor="text1"/>
        </w:rPr>
        <w:t>)</w:t>
      </w:r>
      <w:r w:rsidRPr="009719A9">
        <w:rPr>
          <w:rFonts w:cstheme="minorHAnsi"/>
          <w:color w:val="000000" w:themeColor="text1"/>
        </w:rPr>
        <w:t xml:space="preserve"> approval</w:t>
      </w:r>
      <w:r>
        <w:rPr>
          <w:rFonts w:cstheme="minorHAnsi"/>
          <w:color w:val="000000" w:themeColor="text1"/>
        </w:rPr>
        <w:t>.</w:t>
      </w:r>
    </w:p>
    <w:p w14:paraId="5468722B" w14:textId="77777777" w:rsidR="00762925" w:rsidRPr="00363CEF" w:rsidRDefault="00762925" w:rsidP="00762925">
      <w:pPr>
        <w:pStyle w:val="Instructionaltext"/>
        <w:jc w:val="both"/>
        <w:rPr>
          <w:rFonts w:cstheme="minorHAnsi"/>
          <w:color w:val="000000" w:themeColor="text1"/>
        </w:rPr>
      </w:pPr>
      <w:r w:rsidRPr="00363CEF">
        <w:rPr>
          <w:rFonts w:cstheme="minorHAnsi"/>
          <w:color w:val="000000" w:themeColor="text1"/>
        </w:rPr>
        <w:t xml:space="preserve">The Applicant states that the National Association of Testing Authorities (NATA) and the Royal College of Pathologists </w:t>
      </w:r>
      <w:r>
        <w:rPr>
          <w:rFonts w:cstheme="minorHAnsi"/>
          <w:color w:val="000000" w:themeColor="text1"/>
        </w:rPr>
        <w:t xml:space="preserve">of </w:t>
      </w:r>
      <w:r w:rsidRPr="00363CEF">
        <w:rPr>
          <w:rFonts w:cstheme="minorHAnsi"/>
          <w:color w:val="000000" w:themeColor="text1"/>
        </w:rPr>
        <w:t xml:space="preserve">Australasia (RCPA) oversee the regulation of pathology testing for clinical purposes. Laboratories require accreditation by a joint NATA/RCPA process to ISO 15189, and </w:t>
      </w:r>
      <w:r>
        <w:rPr>
          <w:rFonts w:cstheme="minorHAnsi"/>
          <w:color w:val="000000" w:themeColor="text1"/>
        </w:rPr>
        <w:t xml:space="preserve">are </w:t>
      </w:r>
      <w:r w:rsidRPr="00363CEF">
        <w:rPr>
          <w:rFonts w:cstheme="minorHAnsi"/>
          <w:color w:val="000000" w:themeColor="text1"/>
        </w:rPr>
        <w:t>specifically accredited to provide genetic testing. This accreditation process covers the technical aspects of the sample reception and processing, laboratory sequencing, analysis pipelines, curation (or interpretation) of results and production of the report to a clinical standard.  There are no requirements for use of specific manufacturer’s reagents, equipment or analysis pipelines.</w:t>
      </w:r>
    </w:p>
    <w:p w14:paraId="45F0C904" w14:textId="77777777" w:rsidR="00762925" w:rsidRPr="009719A9" w:rsidRDefault="00762925" w:rsidP="00762925">
      <w:pPr>
        <w:pStyle w:val="NormalWeb"/>
        <w:jc w:val="both"/>
        <w:rPr>
          <w:rFonts w:ascii="Franklin Gothic Book" w:hAnsi="Franklin Gothic Book" w:cstheme="minorHAnsi"/>
          <w:iCs/>
          <w:sz w:val="22"/>
          <w:szCs w:val="22"/>
        </w:rPr>
      </w:pPr>
      <w:r w:rsidRPr="009719A9">
        <w:rPr>
          <w:rFonts w:ascii="Franklin Gothic Book" w:hAnsi="Franklin Gothic Book" w:cstheme="minorHAnsi"/>
          <w:iCs/>
          <w:sz w:val="22"/>
          <w:szCs w:val="22"/>
        </w:rPr>
        <w:t>Molecular profiling is a complex investigation and quality issues pose a risk primarily and directly to the patient, and secondarily to the MBS if repeat testing is deemed necessary to address concerns about the adequacy</w:t>
      </w:r>
      <w:r>
        <w:rPr>
          <w:rFonts w:ascii="Franklin Gothic Book" w:hAnsi="Franklin Gothic Book" w:cstheme="minorHAnsi"/>
          <w:iCs/>
          <w:sz w:val="22"/>
          <w:szCs w:val="22"/>
        </w:rPr>
        <w:t xml:space="preserve"> </w:t>
      </w:r>
      <w:r w:rsidRPr="009719A9">
        <w:rPr>
          <w:rFonts w:ascii="Franklin Gothic Book" w:hAnsi="Franklin Gothic Book" w:cstheme="minorHAnsi"/>
          <w:iCs/>
          <w:sz w:val="22"/>
          <w:szCs w:val="22"/>
        </w:rPr>
        <w:t>or limitations of initial testing</w:t>
      </w:r>
      <w:r w:rsidRPr="00B810D6">
        <w:rPr>
          <w:rFonts w:ascii="Franklin Gothic Book" w:hAnsi="Franklin Gothic Book" w:cstheme="minorHAnsi"/>
          <w:iCs/>
          <w:sz w:val="22"/>
          <w:szCs w:val="22"/>
        </w:rPr>
        <w:t xml:space="preserve"> </w:t>
      </w:r>
      <w:r>
        <w:rPr>
          <w:rFonts w:ascii="Franklin Gothic Book" w:hAnsi="Franklin Gothic Book" w:cstheme="minorHAnsi"/>
          <w:iCs/>
          <w:sz w:val="22"/>
          <w:szCs w:val="22"/>
        </w:rPr>
        <w:t>(e.g. through the use of a panel that is not sufficiently comprehensive)</w:t>
      </w:r>
      <w:r w:rsidRPr="009719A9">
        <w:rPr>
          <w:rFonts w:ascii="Franklin Gothic Book" w:hAnsi="Franklin Gothic Book" w:cstheme="minorHAnsi"/>
          <w:iCs/>
          <w:sz w:val="22"/>
          <w:szCs w:val="22"/>
        </w:rPr>
        <w:t xml:space="preserve">. The recently published WHO CNS5 provides a list of genes, and variants that define or characterise an entity by their presence or absence. </w:t>
      </w:r>
    </w:p>
    <w:p w14:paraId="415C7FC9" w14:textId="77777777" w:rsidR="00762925" w:rsidRPr="001C09AE" w:rsidRDefault="00762925" w:rsidP="00762925">
      <w:pPr>
        <w:pStyle w:val="Heading3"/>
      </w:pPr>
      <w:bookmarkStart w:id="19" w:name="_Toc97723464"/>
      <w:r w:rsidRPr="001C09AE">
        <w:t>Scope of testing</w:t>
      </w:r>
      <w:bookmarkEnd w:id="19"/>
    </w:p>
    <w:p w14:paraId="149F19FD" w14:textId="77777777" w:rsidR="00762925" w:rsidRPr="001C09AE" w:rsidRDefault="00762925" w:rsidP="00762925">
      <w:pPr>
        <w:pStyle w:val="NormalWeb"/>
        <w:jc w:val="both"/>
        <w:rPr>
          <w:rFonts w:ascii="Franklin Gothic Book" w:hAnsi="Franklin Gothic Book" w:cstheme="minorHAnsi"/>
          <w:iCs/>
          <w:sz w:val="22"/>
          <w:szCs w:val="22"/>
        </w:rPr>
      </w:pPr>
      <w:r w:rsidRPr="001C09AE">
        <w:rPr>
          <w:rFonts w:ascii="Franklin Gothic Book" w:hAnsi="Franklin Gothic Book" w:cstheme="minorHAnsi"/>
          <w:iCs/>
          <w:sz w:val="22"/>
          <w:szCs w:val="22"/>
        </w:rPr>
        <w:t xml:space="preserve">The scope of gene panel testing may be problematic if it does not include candidate genes and known variants regarded as the standard of care at the time of the test being performed. NGS gene panels offer the opportunity to test a broad range of genes for a range of purposes (diagnostic, prognostic, predictive, potential familial predisposition), for which there is established evidence or emerging evidence, </w:t>
      </w:r>
      <w:r>
        <w:rPr>
          <w:rFonts w:ascii="Franklin Gothic Book" w:hAnsi="Franklin Gothic Book" w:cstheme="minorHAnsi"/>
          <w:iCs/>
          <w:sz w:val="22"/>
          <w:szCs w:val="22"/>
        </w:rPr>
        <w:t>that</w:t>
      </w:r>
      <w:r w:rsidRPr="001C09AE">
        <w:rPr>
          <w:rFonts w:ascii="Franklin Gothic Book" w:hAnsi="Franklin Gothic Book" w:cstheme="minorHAnsi"/>
          <w:iCs/>
          <w:sz w:val="22"/>
          <w:szCs w:val="22"/>
        </w:rPr>
        <w:t xml:space="preserve"> may offer clinical management options and improved outcomes. With a range of providers, the scope of testing and therefore, suitability for different test purposes, may differ unless there is some agreed scope, and clear communication of the scope.</w:t>
      </w:r>
    </w:p>
    <w:p w14:paraId="36B4BBD4" w14:textId="77777777" w:rsidR="00762925" w:rsidRPr="001C09AE" w:rsidRDefault="00762925" w:rsidP="00762925">
      <w:pPr>
        <w:pStyle w:val="NormalWeb"/>
        <w:jc w:val="both"/>
        <w:rPr>
          <w:rFonts w:ascii="Franklin Gothic Book" w:hAnsi="Franklin Gothic Book" w:cstheme="minorHAnsi"/>
          <w:iCs/>
          <w:sz w:val="22"/>
          <w:szCs w:val="22"/>
        </w:rPr>
      </w:pPr>
      <w:r w:rsidRPr="001C09AE">
        <w:rPr>
          <w:rFonts w:ascii="Franklin Gothic Book" w:hAnsi="Franklin Gothic Book" w:cstheme="minorHAnsi"/>
          <w:iCs/>
          <w:sz w:val="22"/>
          <w:szCs w:val="22"/>
        </w:rPr>
        <w:t>Consideration could be given to:</w:t>
      </w:r>
    </w:p>
    <w:p w14:paraId="4E968157" w14:textId="77777777" w:rsidR="00762925" w:rsidRPr="001C09AE" w:rsidRDefault="00762925" w:rsidP="00762925">
      <w:pPr>
        <w:pStyle w:val="NormalWeb"/>
        <w:numPr>
          <w:ilvl w:val="0"/>
          <w:numId w:val="12"/>
        </w:numPr>
        <w:jc w:val="both"/>
        <w:rPr>
          <w:rFonts w:ascii="Franklin Gothic Book" w:hAnsi="Franklin Gothic Book" w:cstheme="minorHAnsi"/>
          <w:iCs/>
          <w:sz w:val="22"/>
          <w:szCs w:val="22"/>
        </w:rPr>
      </w:pPr>
      <w:r w:rsidRPr="001C09AE">
        <w:rPr>
          <w:rFonts w:ascii="Franklin Gothic Book" w:hAnsi="Franklin Gothic Book" w:cstheme="minorHAnsi"/>
          <w:iCs/>
          <w:sz w:val="22"/>
          <w:szCs w:val="22"/>
        </w:rPr>
        <w:t>Stipulating in the item descriptor a minimum core number of genes to be analysed as part of the service t</w:t>
      </w:r>
      <w:r>
        <w:rPr>
          <w:rFonts w:ascii="Franklin Gothic Book" w:hAnsi="Franklin Gothic Book" w:cstheme="minorHAnsi"/>
          <w:iCs/>
          <w:sz w:val="22"/>
          <w:szCs w:val="22"/>
        </w:rPr>
        <w:t>hat</w:t>
      </w:r>
      <w:r w:rsidRPr="001C09AE">
        <w:rPr>
          <w:rFonts w:ascii="Franklin Gothic Book" w:hAnsi="Franklin Gothic Book" w:cstheme="minorHAnsi"/>
          <w:iCs/>
          <w:sz w:val="22"/>
          <w:szCs w:val="22"/>
        </w:rPr>
        <w:t>:</w:t>
      </w:r>
    </w:p>
    <w:p w14:paraId="7EECD1D3" w14:textId="77777777" w:rsidR="00762925" w:rsidRPr="001C09AE" w:rsidRDefault="00762925" w:rsidP="00762925">
      <w:pPr>
        <w:pStyle w:val="NormalWeb"/>
        <w:numPr>
          <w:ilvl w:val="1"/>
          <w:numId w:val="12"/>
        </w:numPr>
        <w:jc w:val="both"/>
        <w:rPr>
          <w:rFonts w:ascii="Franklin Gothic Book" w:hAnsi="Franklin Gothic Book" w:cstheme="minorHAnsi"/>
          <w:iCs/>
          <w:sz w:val="22"/>
          <w:szCs w:val="22"/>
        </w:rPr>
      </w:pPr>
      <w:r w:rsidRPr="001C09AE">
        <w:rPr>
          <w:rFonts w:ascii="Franklin Gothic Book" w:hAnsi="Franklin Gothic Book" w:cstheme="minorHAnsi"/>
          <w:iCs/>
          <w:sz w:val="22"/>
          <w:szCs w:val="22"/>
        </w:rPr>
        <w:t xml:space="preserve">align with the diagnostic WHO CNS5, especially where these are defining </w:t>
      </w:r>
    </w:p>
    <w:p w14:paraId="5E3A8915" w14:textId="77777777" w:rsidR="00762925" w:rsidRPr="001C09AE" w:rsidRDefault="00762925" w:rsidP="00762925">
      <w:pPr>
        <w:pStyle w:val="NormalWeb"/>
        <w:numPr>
          <w:ilvl w:val="1"/>
          <w:numId w:val="12"/>
        </w:numPr>
        <w:jc w:val="both"/>
        <w:rPr>
          <w:rFonts w:ascii="Franklin Gothic Book" w:hAnsi="Franklin Gothic Book" w:cstheme="minorHAnsi"/>
          <w:iCs/>
          <w:sz w:val="22"/>
          <w:szCs w:val="22"/>
        </w:rPr>
      </w:pPr>
      <w:r w:rsidRPr="001C09AE">
        <w:rPr>
          <w:rFonts w:ascii="Franklin Gothic Book" w:hAnsi="Franklin Gothic Book" w:cstheme="minorHAnsi"/>
          <w:iCs/>
          <w:sz w:val="22"/>
          <w:szCs w:val="22"/>
        </w:rPr>
        <w:t>incorporate wider test purposes e.g., to identify potential treatment options.</w:t>
      </w:r>
    </w:p>
    <w:p w14:paraId="06A9C72B" w14:textId="77777777" w:rsidR="00762925" w:rsidRPr="001C09AE" w:rsidRDefault="00762925" w:rsidP="00762925">
      <w:pPr>
        <w:pStyle w:val="NormalWeb"/>
        <w:numPr>
          <w:ilvl w:val="0"/>
          <w:numId w:val="12"/>
        </w:numPr>
        <w:jc w:val="both"/>
        <w:rPr>
          <w:rFonts w:ascii="Franklin Gothic Book" w:hAnsi="Franklin Gothic Book" w:cstheme="minorHAnsi"/>
          <w:iCs/>
          <w:sz w:val="22"/>
          <w:szCs w:val="22"/>
        </w:rPr>
      </w:pPr>
      <w:r>
        <w:rPr>
          <w:rFonts w:ascii="Franklin Gothic Book" w:hAnsi="Franklin Gothic Book" w:cstheme="minorHAnsi"/>
          <w:iCs/>
          <w:sz w:val="22"/>
          <w:szCs w:val="22"/>
        </w:rPr>
        <w:t>Establishing and m</w:t>
      </w:r>
      <w:r w:rsidRPr="001C09AE">
        <w:rPr>
          <w:rFonts w:ascii="Franklin Gothic Book" w:hAnsi="Franklin Gothic Book" w:cstheme="minorHAnsi"/>
          <w:iCs/>
          <w:sz w:val="22"/>
          <w:szCs w:val="22"/>
        </w:rPr>
        <w:t>aintaining a directory, updated at intervals by Australian experts, with agreed genes within a panel test as is done in the NHS</w:t>
      </w:r>
      <w:r>
        <w:rPr>
          <w:rFonts w:ascii="Franklin Gothic Book" w:hAnsi="Franklin Gothic Book" w:cstheme="minorHAnsi"/>
          <w:iCs/>
          <w:sz w:val="22"/>
          <w:szCs w:val="22"/>
        </w:rPr>
        <w:t>E</w:t>
      </w:r>
      <w:r w:rsidRPr="001C09AE">
        <w:rPr>
          <w:rFonts w:ascii="Franklin Gothic Book" w:hAnsi="Franklin Gothic Book" w:cstheme="minorHAnsi"/>
          <w:iCs/>
          <w:sz w:val="22"/>
          <w:szCs w:val="22"/>
        </w:rPr>
        <w:t xml:space="preserve"> Genomic Test Directory, or </w:t>
      </w:r>
      <w:r>
        <w:rPr>
          <w:rFonts w:ascii="Franklin Gothic Book" w:hAnsi="Franklin Gothic Book" w:cstheme="minorHAnsi"/>
          <w:iCs/>
          <w:sz w:val="22"/>
          <w:szCs w:val="22"/>
        </w:rPr>
        <w:t>similar to</w:t>
      </w:r>
      <w:r w:rsidRPr="001C09AE">
        <w:rPr>
          <w:rFonts w:ascii="Franklin Gothic Book" w:hAnsi="Franklin Gothic Book" w:cstheme="minorHAnsi"/>
          <w:iCs/>
          <w:sz w:val="22"/>
          <w:szCs w:val="22"/>
        </w:rPr>
        <w:t xml:space="preserve"> </w:t>
      </w:r>
      <w:proofErr w:type="spellStart"/>
      <w:r w:rsidRPr="001C09AE">
        <w:rPr>
          <w:rFonts w:ascii="Franklin Gothic Book" w:hAnsi="Franklin Gothic Book" w:cstheme="minorHAnsi"/>
          <w:iCs/>
          <w:sz w:val="22"/>
          <w:szCs w:val="22"/>
        </w:rPr>
        <w:t>PanelApp</w:t>
      </w:r>
      <w:proofErr w:type="spellEnd"/>
      <w:r>
        <w:rPr>
          <w:rFonts w:ascii="Franklin Gothic Book" w:hAnsi="Franklin Gothic Book" w:cstheme="minorHAnsi"/>
          <w:iCs/>
          <w:sz w:val="22"/>
          <w:szCs w:val="22"/>
        </w:rPr>
        <w:t xml:space="preserve"> Australia</w:t>
      </w:r>
      <w:r w:rsidRPr="001C09AE">
        <w:rPr>
          <w:rStyle w:val="FootnoteReference"/>
          <w:rFonts w:ascii="Franklin Gothic Book" w:hAnsi="Franklin Gothic Book" w:cstheme="minorHAnsi"/>
          <w:iCs/>
          <w:sz w:val="22"/>
          <w:szCs w:val="22"/>
        </w:rPr>
        <w:footnoteReference w:id="16"/>
      </w:r>
      <w:r w:rsidRPr="001C09AE">
        <w:rPr>
          <w:rFonts w:ascii="Franklin Gothic Book" w:hAnsi="Franklin Gothic Book" w:cstheme="minorHAnsi"/>
          <w:iCs/>
          <w:sz w:val="22"/>
          <w:szCs w:val="22"/>
        </w:rPr>
        <w:t xml:space="preserve">. This would support equitable access to appropriate testing. </w:t>
      </w:r>
      <w:r>
        <w:rPr>
          <w:rFonts w:ascii="Franklin Gothic Book" w:hAnsi="Franklin Gothic Book" w:cstheme="minorHAnsi"/>
          <w:iCs/>
          <w:sz w:val="22"/>
          <w:szCs w:val="22"/>
        </w:rPr>
        <w:lastRenderedPageBreak/>
        <w:t>Stipulating a</w:t>
      </w:r>
      <w:r w:rsidRPr="001C09AE">
        <w:rPr>
          <w:rFonts w:ascii="Franklin Gothic Book" w:hAnsi="Franklin Gothic Book" w:cstheme="minorHAnsi"/>
          <w:iCs/>
          <w:sz w:val="22"/>
          <w:szCs w:val="22"/>
        </w:rPr>
        <w:t xml:space="preserve"> list of </w:t>
      </w:r>
      <w:r>
        <w:rPr>
          <w:rFonts w:ascii="Franklin Gothic Book" w:hAnsi="Franklin Gothic Book" w:cstheme="minorHAnsi"/>
          <w:iCs/>
          <w:sz w:val="22"/>
          <w:szCs w:val="22"/>
        </w:rPr>
        <w:t xml:space="preserve">specific </w:t>
      </w:r>
      <w:r w:rsidRPr="001C09AE">
        <w:rPr>
          <w:rFonts w:ascii="Franklin Gothic Book" w:hAnsi="Franklin Gothic Book" w:cstheme="minorHAnsi"/>
          <w:iCs/>
          <w:sz w:val="22"/>
          <w:szCs w:val="22"/>
        </w:rPr>
        <w:t xml:space="preserve">genes </w:t>
      </w:r>
      <w:r>
        <w:rPr>
          <w:rFonts w:ascii="Franklin Gothic Book" w:hAnsi="Franklin Gothic Book" w:cstheme="minorHAnsi"/>
          <w:iCs/>
          <w:sz w:val="22"/>
          <w:szCs w:val="22"/>
        </w:rPr>
        <w:t>with</w:t>
      </w:r>
      <w:r w:rsidRPr="001C09AE">
        <w:rPr>
          <w:rFonts w:ascii="Franklin Gothic Book" w:hAnsi="Franklin Gothic Book" w:cstheme="minorHAnsi"/>
          <w:iCs/>
          <w:sz w:val="22"/>
          <w:szCs w:val="22"/>
        </w:rPr>
        <w:t xml:space="preserve">in </w:t>
      </w:r>
      <w:r>
        <w:rPr>
          <w:rFonts w:ascii="Franklin Gothic Book" w:hAnsi="Franklin Gothic Book" w:cstheme="minorHAnsi"/>
          <w:iCs/>
          <w:sz w:val="22"/>
          <w:szCs w:val="22"/>
        </w:rPr>
        <w:t>the</w:t>
      </w:r>
      <w:r w:rsidRPr="001C09AE">
        <w:rPr>
          <w:rFonts w:ascii="Franklin Gothic Book" w:hAnsi="Franklin Gothic Book" w:cstheme="minorHAnsi"/>
          <w:iCs/>
          <w:sz w:val="22"/>
          <w:szCs w:val="22"/>
        </w:rPr>
        <w:t xml:space="preserve"> item descriptor as the minimum expected</w:t>
      </w:r>
      <w:r>
        <w:rPr>
          <w:rFonts w:ascii="Franklin Gothic Book" w:hAnsi="Franklin Gothic Book" w:cstheme="minorHAnsi"/>
          <w:iCs/>
          <w:sz w:val="22"/>
          <w:szCs w:val="22"/>
        </w:rPr>
        <w:t xml:space="preserve"> gene set for analysis</w:t>
      </w:r>
      <w:r w:rsidRPr="001C09AE">
        <w:rPr>
          <w:rFonts w:ascii="Franklin Gothic Book" w:hAnsi="Franklin Gothic Book" w:cstheme="minorHAnsi"/>
          <w:iCs/>
          <w:sz w:val="22"/>
          <w:szCs w:val="22"/>
        </w:rPr>
        <w:t xml:space="preserve"> will inevitably become outdated as new genes or variants are identified</w:t>
      </w:r>
      <w:r>
        <w:rPr>
          <w:rFonts w:ascii="Franklin Gothic Book" w:hAnsi="Franklin Gothic Book" w:cstheme="minorHAnsi"/>
          <w:iCs/>
          <w:sz w:val="22"/>
          <w:szCs w:val="22"/>
        </w:rPr>
        <w:t xml:space="preserve"> </w:t>
      </w:r>
      <w:r w:rsidRPr="001C09AE">
        <w:rPr>
          <w:rFonts w:ascii="Franklin Gothic Book" w:hAnsi="Franklin Gothic Book" w:cstheme="minorHAnsi"/>
          <w:iCs/>
          <w:sz w:val="22"/>
          <w:szCs w:val="22"/>
        </w:rPr>
        <w:t>and may be difficult to update without a streamlined process.</w:t>
      </w:r>
    </w:p>
    <w:p w14:paraId="3A4A7C9C" w14:textId="4167C484" w:rsidR="00762925" w:rsidRPr="001C09AE" w:rsidRDefault="00762925" w:rsidP="00762925">
      <w:pPr>
        <w:pStyle w:val="NormalWeb"/>
        <w:numPr>
          <w:ilvl w:val="0"/>
          <w:numId w:val="12"/>
        </w:numPr>
        <w:jc w:val="both"/>
        <w:rPr>
          <w:rFonts w:ascii="Franklin Gothic Book" w:hAnsi="Franklin Gothic Book" w:cstheme="minorHAnsi"/>
          <w:iCs/>
          <w:sz w:val="22"/>
          <w:szCs w:val="22"/>
        </w:rPr>
      </w:pPr>
      <w:r w:rsidRPr="001C09AE">
        <w:rPr>
          <w:rFonts w:ascii="Franklin Gothic Book" w:hAnsi="Franklin Gothic Book" w:cstheme="minorHAnsi"/>
          <w:iCs/>
          <w:sz w:val="22"/>
          <w:szCs w:val="22"/>
        </w:rPr>
        <w:t>Requiring providers to list/have available the genes and targeted gene regions offered</w:t>
      </w:r>
      <w:r>
        <w:rPr>
          <w:rFonts w:ascii="Franklin Gothic Book" w:hAnsi="Franklin Gothic Book" w:cstheme="minorHAnsi"/>
          <w:iCs/>
          <w:sz w:val="22"/>
          <w:szCs w:val="22"/>
        </w:rPr>
        <w:t>,</w:t>
      </w:r>
      <w:r w:rsidRPr="001C09AE">
        <w:rPr>
          <w:rFonts w:ascii="Franklin Gothic Book" w:hAnsi="Franklin Gothic Book" w:cstheme="minorHAnsi"/>
          <w:iCs/>
          <w:sz w:val="22"/>
          <w:szCs w:val="22"/>
        </w:rPr>
        <w:t xml:space="preserve"> to provide requesters with an understanding of the genes tested and to identify the differences between tests </w:t>
      </w:r>
      <w:r>
        <w:rPr>
          <w:rFonts w:ascii="Franklin Gothic Book" w:hAnsi="Franklin Gothic Book" w:cstheme="minorHAnsi"/>
          <w:iCs/>
          <w:sz w:val="22"/>
          <w:szCs w:val="22"/>
        </w:rPr>
        <w:t>provided</w:t>
      </w:r>
      <w:r w:rsidRPr="001C09AE">
        <w:rPr>
          <w:rFonts w:ascii="Franklin Gothic Book" w:hAnsi="Franklin Gothic Book" w:cstheme="minorHAnsi"/>
          <w:iCs/>
          <w:sz w:val="22"/>
          <w:szCs w:val="22"/>
        </w:rPr>
        <w:t xml:space="preserve">. This would be important for requesters where a patient is seeking to pursue all treatment avenues (including self-funded or investigational), if only some providers may offer gene panels that include </w:t>
      </w:r>
      <w:r w:rsidR="00AE4007">
        <w:rPr>
          <w:rFonts w:ascii="Franklin Gothic Book" w:hAnsi="Franklin Gothic Book" w:cstheme="minorHAnsi"/>
          <w:iCs/>
          <w:sz w:val="22"/>
          <w:szCs w:val="22"/>
        </w:rPr>
        <w:t>predictive</w:t>
      </w:r>
      <w:r w:rsidRPr="001C09AE">
        <w:rPr>
          <w:rFonts w:ascii="Franklin Gothic Book" w:hAnsi="Franklin Gothic Book" w:cstheme="minorHAnsi"/>
          <w:iCs/>
          <w:sz w:val="22"/>
          <w:szCs w:val="22"/>
        </w:rPr>
        <w:t xml:space="preserve"> targets alongside diagnostic genes. The Mayo Clinic provides such a list for each of its tests including the targeted DNA gene regions interrogated within their comprehensive adult and paediatric 118-gene Neuro-oncology panel</w:t>
      </w:r>
      <w:r w:rsidRPr="001C09AE">
        <w:rPr>
          <w:rStyle w:val="FootnoteReference"/>
          <w:rFonts w:ascii="Franklin Gothic Book" w:hAnsi="Franklin Gothic Book" w:cstheme="minorHAnsi"/>
          <w:iCs/>
          <w:sz w:val="22"/>
          <w:szCs w:val="22"/>
        </w:rPr>
        <w:footnoteReference w:id="17"/>
      </w:r>
      <w:r w:rsidRPr="001C09AE">
        <w:rPr>
          <w:rFonts w:ascii="Franklin Gothic Book" w:hAnsi="Franklin Gothic Book" w:cstheme="minorHAnsi"/>
          <w:iCs/>
          <w:sz w:val="22"/>
          <w:szCs w:val="22"/>
        </w:rPr>
        <w:t xml:space="preserve">. </w:t>
      </w:r>
    </w:p>
    <w:p w14:paraId="569B4B28" w14:textId="79DADE0C" w:rsidR="00762925" w:rsidRPr="00E64C03" w:rsidRDefault="00F94444" w:rsidP="00F94444">
      <w:pPr>
        <w:pStyle w:val="Heading2"/>
        <w:numPr>
          <w:ilvl w:val="0"/>
          <w:numId w:val="0"/>
        </w:numPr>
      </w:pPr>
      <w:bookmarkStart w:id="20" w:name="_Toc97723465"/>
      <w:r>
        <w:t>6</w:t>
      </w:r>
      <w:r w:rsidR="00762925" w:rsidRPr="00E64C03">
        <w:t>.</w:t>
      </w:r>
      <w:r w:rsidR="00762925" w:rsidRPr="00E64C03">
        <w:tab/>
        <w:t xml:space="preserve">Proposal for public </w:t>
      </w:r>
      <w:r w:rsidR="00762925" w:rsidRPr="00FE21F7">
        <w:t>funding</w:t>
      </w:r>
      <w:bookmarkEnd w:id="20"/>
    </w:p>
    <w:p w14:paraId="1E9F193F" w14:textId="77777777" w:rsidR="00762925" w:rsidRPr="0044448D" w:rsidRDefault="00762925" w:rsidP="00762925">
      <w:pPr>
        <w:pStyle w:val="NormalWeb"/>
        <w:jc w:val="both"/>
        <w:rPr>
          <w:rFonts w:cstheme="minorHAnsi"/>
          <w:iCs/>
        </w:rPr>
      </w:pPr>
      <w:r w:rsidRPr="0044448D">
        <w:rPr>
          <w:rFonts w:ascii="Franklin Gothic Book" w:hAnsi="Franklin Gothic Book" w:cstheme="minorHAnsi"/>
          <w:iCs/>
          <w:sz w:val="22"/>
          <w:szCs w:val="22"/>
        </w:rPr>
        <w:t>The proposed technology (or technologies) is an existing technology</w:t>
      </w:r>
      <w:r>
        <w:rPr>
          <w:rFonts w:ascii="Franklin Gothic Book" w:hAnsi="Franklin Gothic Book" w:cstheme="minorHAnsi"/>
          <w:iCs/>
          <w:sz w:val="22"/>
          <w:szCs w:val="22"/>
        </w:rPr>
        <w:t>, though not publicly funded</w:t>
      </w:r>
      <w:r w:rsidRPr="0044448D">
        <w:rPr>
          <w:rFonts w:ascii="Franklin Gothic Book" w:hAnsi="Franklin Gothic Book" w:cstheme="minorHAnsi"/>
          <w:iCs/>
          <w:sz w:val="22"/>
          <w:szCs w:val="22"/>
        </w:rPr>
        <w:t>.</w:t>
      </w:r>
    </w:p>
    <w:p w14:paraId="589845F3" w14:textId="77777777" w:rsidR="00762925" w:rsidRPr="0044448D" w:rsidRDefault="00762925" w:rsidP="00762925">
      <w:pPr>
        <w:pStyle w:val="NormalWeb"/>
        <w:jc w:val="both"/>
        <w:rPr>
          <w:rFonts w:cstheme="minorHAnsi"/>
          <w:iCs/>
        </w:rPr>
      </w:pPr>
      <w:r w:rsidRPr="0044448D">
        <w:rPr>
          <w:rFonts w:ascii="Franklin Gothic Book" w:hAnsi="Franklin Gothic Book" w:cstheme="minorHAnsi"/>
          <w:iCs/>
          <w:sz w:val="22"/>
          <w:szCs w:val="22"/>
        </w:rPr>
        <w:t xml:space="preserve">The proposal intends to build on existing MBS items 73371, 73372 and 73373, which are single genetic tests, by creating a new MBS item for a multi-gene NGS panel with broader coverage than currently provided. </w:t>
      </w:r>
    </w:p>
    <w:p w14:paraId="64C060BA" w14:textId="77777777" w:rsidR="00762925" w:rsidRPr="0044448D" w:rsidRDefault="00762925" w:rsidP="00762925">
      <w:pPr>
        <w:pStyle w:val="NormalWeb"/>
        <w:jc w:val="both"/>
        <w:rPr>
          <w:rFonts w:cstheme="minorHAnsi"/>
          <w:iCs/>
        </w:rPr>
      </w:pPr>
      <w:r w:rsidRPr="0044448D">
        <w:rPr>
          <w:rFonts w:ascii="Franklin Gothic Book" w:hAnsi="Franklin Gothic Book" w:cstheme="minorHAnsi"/>
          <w:iCs/>
          <w:sz w:val="22"/>
          <w:szCs w:val="22"/>
        </w:rPr>
        <w:t>Limitations of this proposal are:</w:t>
      </w:r>
    </w:p>
    <w:p w14:paraId="434BBD86" w14:textId="77777777" w:rsidR="00762925" w:rsidRDefault="00762925" w:rsidP="00762925">
      <w:pPr>
        <w:pStyle w:val="Instructionaltext"/>
        <w:numPr>
          <w:ilvl w:val="0"/>
          <w:numId w:val="13"/>
        </w:numPr>
        <w:jc w:val="both"/>
        <w:rPr>
          <w:rFonts w:cstheme="minorHAnsi"/>
          <w:color w:val="000000" w:themeColor="text1"/>
        </w:rPr>
      </w:pPr>
      <w:r>
        <w:rPr>
          <w:rFonts w:cstheme="minorHAnsi"/>
          <w:color w:val="000000" w:themeColor="text1"/>
        </w:rPr>
        <w:t>With the application</w:t>
      </w:r>
      <w:r w:rsidRPr="00020264">
        <w:rPr>
          <w:rFonts w:cstheme="minorHAnsi"/>
          <w:color w:val="000000" w:themeColor="text1"/>
        </w:rPr>
        <w:t xml:space="preserve"> limited to the </w:t>
      </w:r>
      <w:r>
        <w:rPr>
          <w:rFonts w:cstheme="minorHAnsi"/>
          <w:color w:val="000000" w:themeColor="text1"/>
        </w:rPr>
        <w:t>somatic testing of</w:t>
      </w:r>
      <w:r w:rsidRPr="00020264">
        <w:rPr>
          <w:rFonts w:cstheme="minorHAnsi"/>
          <w:color w:val="000000" w:themeColor="text1"/>
        </w:rPr>
        <w:t xml:space="preserve"> glial neoplasms (including glioblastoma), </w:t>
      </w:r>
      <w:r>
        <w:rPr>
          <w:rFonts w:cstheme="minorHAnsi"/>
          <w:color w:val="000000" w:themeColor="text1"/>
        </w:rPr>
        <w:t xml:space="preserve">which constitute 81% of brain cancers, 19% of brain cancers would remain without publicly funded genetic testing. </w:t>
      </w:r>
    </w:p>
    <w:p w14:paraId="4BB2A47B" w14:textId="77777777" w:rsidR="00762925" w:rsidRPr="00BB4FB0" w:rsidRDefault="00762925" w:rsidP="00762925">
      <w:pPr>
        <w:pStyle w:val="Instructionaltext"/>
        <w:numPr>
          <w:ilvl w:val="0"/>
          <w:numId w:val="13"/>
        </w:numPr>
        <w:jc w:val="both"/>
        <w:rPr>
          <w:rFonts w:cstheme="minorHAnsi"/>
          <w:color w:val="000000" w:themeColor="text1"/>
        </w:rPr>
      </w:pPr>
      <w:r>
        <w:rPr>
          <w:rFonts w:cstheme="minorHAnsi"/>
          <w:color w:val="000000" w:themeColor="text1"/>
        </w:rPr>
        <w:t>The</w:t>
      </w:r>
      <w:r w:rsidRPr="00020264">
        <w:rPr>
          <w:rFonts w:cstheme="minorHAnsi"/>
          <w:color w:val="000000" w:themeColor="text1"/>
        </w:rPr>
        <w:t xml:space="preserve"> nominated essential genes</w:t>
      </w:r>
      <w:r>
        <w:rPr>
          <w:rFonts w:cstheme="minorHAnsi"/>
          <w:color w:val="000000" w:themeColor="text1"/>
        </w:rPr>
        <w:t xml:space="preserve"> within the proposed panel are</w:t>
      </w:r>
      <w:r w:rsidRPr="00020264">
        <w:rPr>
          <w:rFonts w:cstheme="minorHAnsi"/>
          <w:color w:val="000000" w:themeColor="text1"/>
        </w:rPr>
        <w:t xml:space="preserve"> </w:t>
      </w:r>
      <w:r>
        <w:rPr>
          <w:rFonts w:cstheme="minorHAnsi"/>
          <w:color w:val="000000" w:themeColor="text1"/>
        </w:rPr>
        <w:t>focused mostly towards diagnosing tumours found</w:t>
      </w:r>
      <w:r w:rsidRPr="00020264">
        <w:rPr>
          <w:rFonts w:cstheme="minorHAnsi"/>
          <w:color w:val="000000" w:themeColor="text1"/>
        </w:rPr>
        <w:t xml:space="preserve"> in the adult population. The Applicant’s expert clarified in a meeting on 17 February 2022, that it is envisaged the proposed panel would be used predominantly in the young adult population (who potentially have gene alterations found more commonly in paediatric gliomas) and adults. It was noted that the paediatric population are likely to be able to </w:t>
      </w:r>
      <w:r w:rsidRPr="00BB4FB0">
        <w:rPr>
          <w:rFonts w:cstheme="minorHAnsi"/>
          <w:color w:val="000000" w:themeColor="text1"/>
        </w:rPr>
        <w:t xml:space="preserve">access broad genetic testing within programs offered in specialist hospital services. Utilisation data for the </w:t>
      </w:r>
      <w:r>
        <w:rPr>
          <w:rFonts w:cstheme="minorHAnsi"/>
          <w:color w:val="000000" w:themeColor="text1"/>
        </w:rPr>
        <w:t>existing</w:t>
      </w:r>
      <w:r w:rsidRPr="00BB4FB0">
        <w:rPr>
          <w:rFonts w:cstheme="minorHAnsi"/>
          <w:color w:val="000000" w:themeColor="text1"/>
        </w:rPr>
        <w:t xml:space="preserve"> single genetic tests (Items 73371 and 73372) indicate low usage in 2021 in the paediatric age group.</w:t>
      </w:r>
    </w:p>
    <w:p w14:paraId="1F5CE49E" w14:textId="2B880643" w:rsidR="00762925" w:rsidRPr="0044448D" w:rsidRDefault="00762925" w:rsidP="00762925">
      <w:pPr>
        <w:pStyle w:val="Instructionaltext"/>
        <w:numPr>
          <w:ilvl w:val="0"/>
          <w:numId w:val="13"/>
        </w:numPr>
        <w:spacing w:after="0"/>
        <w:jc w:val="both"/>
        <w:rPr>
          <w:rFonts w:cstheme="minorHAnsi"/>
          <w:color w:val="000000" w:themeColor="text1"/>
        </w:rPr>
      </w:pPr>
      <w:r>
        <w:rPr>
          <w:rFonts w:cstheme="minorHAnsi"/>
          <w:color w:val="000000" w:themeColor="text1"/>
        </w:rPr>
        <w:t xml:space="preserve">The application lacks detail about the </w:t>
      </w:r>
      <w:r w:rsidR="00077117">
        <w:rPr>
          <w:rFonts w:cstheme="minorHAnsi"/>
          <w:color w:val="000000" w:themeColor="text1"/>
        </w:rPr>
        <w:t xml:space="preserve">specific </w:t>
      </w:r>
      <w:r>
        <w:rPr>
          <w:rFonts w:cstheme="minorHAnsi"/>
          <w:color w:val="000000" w:themeColor="text1"/>
        </w:rPr>
        <w:t xml:space="preserve">genes and the types of variants that are required to be tested to be fit for purpose. </w:t>
      </w:r>
    </w:p>
    <w:p w14:paraId="49BB4462" w14:textId="38B0B8B7" w:rsidR="00762925" w:rsidRPr="000B735A" w:rsidRDefault="00762925" w:rsidP="00762925">
      <w:pPr>
        <w:pStyle w:val="NormalWeb"/>
        <w:numPr>
          <w:ilvl w:val="1"/>
          <w:numId w:val="13"/>
        </w:numPr>
        <w:jc w:val="both"/>
        <w:rPr>
          <w:rFonts w:ascii="Franklin Gothic Book" w:hAnsi="Franklin Gothic Book" w:cstheme="minorHAnsi"/>
          <w:iCs/>
          <w:sz w:val="22"/>
          <w:szCs w:val="22"/>
        </w:rPr>
      </w:pPr>
      <w:r>
        <w:rPr>
          <w:rFonts w:ascii="Franklin Gothic Book" w:hAnsi="Franklin Gothic Book" w:cstheme="minorHAnsi"/>
          <w:color w:val="000000" w:themeColor="text1"/>
          <w:sz w:val="22"/>
          <w:szCs w:val="22"/>
        </w:rPr>
        <w:t>Currently,</w:t>
      </w:r>
      <w:r w:rsidRPr="00BB4FB0">
        <w:rPr>
          <w:rFonts w:ascii="Franklin Gothic Book" w:hAnsi="Franklin Gothic Book" w:cstheme="minorHAnsi"/>
          <w:color w:val="000000" w:themeColor="text1"/>
          <w:sz w:val="22"/>
          <w:szCs w:val="22"/>
        </w:rPr>
        <w:t xml:space="preserve"> </w:t>
      </w:r>
      <w:r>
        <w:rPr>
          <w:rFonts w:ascii="Franklin Gothic Book" w:hAnsi="Franklin Gothic Book" w:cstheme="minorHAnsi"/>
          <w:color w:val="000000" w:themeColor="text1"/>
          <w:sz w:val="22"/>
          <w:szCs w:val="22"/>
        </w:rPr>
        <w:t>nine</w:t>
      </w:r>
      <w:r w:rsidRPr="00BB4FB0">
        <w:rPr>
          <w:rFonts w:ascii="Franklin Gothic Book" w:hAnsi="Franklin Gothic Book" w:cstheme="minorHAnsi"/>
          <w:color w:val="000000" w:themeColor="text1"/>
          <w:sz w:val="22"/>
          <w:szCs w:val="22"/>
        </w:rPr>
        <w:t xml:space="preserve"> genes</w:t>
      </w:r>
      <w:r>
        <w:rPr>
          <w:rFonts w:ascii="Franklin Gothic Book" w:hAnsi="Franklin Gothic Book" w:cstheme="minorHAnsi"/>
          <w:color w:val="000000" w:themeColor="text1"/>
          <w:sz w:val="22"/>
          <w:szCs w:val="22"/>
        </w:rPr>
        <w:t xml:space="preserve"> or copy number variants are</w:t>
      </w:r>
      <w:r w:rsidRPr="00BB4FB0">
        <w:rPr>
          <w:rFonts w:ascii="Franklin Gothic Book" w:hAnsi="Franklin Gothic Book" w:cstheme="minorHAnsi"/>
          <w:color w:val="000000" w:themeColor="text1"/>
          <w:sz w:val="22"/>
          <w:szCs w:val="22"/>
        </w:rPr>
        <w:t xml:space="preserve"> nominated</w:t>
      </w:r>
      <w:r>
        <w:rPr>
          <w:rFonts w:ascii="Franklin Gothic Book" w:hAnsi="Franklin Gothic Book" w:cstheme="minorHAnsi"/>
          <w:color w:val="000000" w:themeColor="text1"/>
          <w:sz w:val="22"/>
          <w:szCs w:val="22"/>
        </w:rPr>
        <w:t xml:space="preserve"> </w:t>
      </w:r>
      <w:r w:rsidRPr="00BB4FB0">
        <w:rPr>
          <w:rFonts w:ascii="Franklin Gothic Book" w:hAnsi="Franklin Gothic Book" w:cstheme="minorHAnsi"/>
          <w:color w:val="000000" w:themeColor="text1"/>
          <w:sz w:val="22"/>
          <w:szCs w:val="22"/>
        </w:rPr>
        <w:t xml:space="preserve">as essential in the </w:t>
      </w:r>
      <w:r>
        <w:rPr>
          <w:rFonts w:ascii="Franklin Gothic Book" w:hAnsi="Franklin Gothic Book" w:cstheme="minorHAnsi"/>
          <w:color w:val="000000" w:themeColor="text1"/>
          <w:sz w:val="22"/>
          <w:szCs w:val="22"/>
        </w:rPr>
        <w:t xml:space="preserve">Applicant’s </w:t>
      </w:r>
      <w:r w:rsidRPr="00BB4FB0">
        <w:rPr>
          <w:rFonts w:ascii="Franklin Gothic Book" w:hAnsi="Franklin Gothic Book" w:cstheme="minorHAnsi"/>
          <w:color w:val="000000" w:themeColor="text1"/>
          <w:sz w:val="22"/>
          <w:szCs w:val="22"/>
        </w:rPr>
        <w:t>proposed panel</w:t>
      </w:r>
      <w:r>
        <w:rPr>
          <w:rFonts w:ascii="Franklin Gothic Book" w:hAnsi="Franklin Gothic Book" w:cstheme="minorHAnsi"/>
          <w:color w:val="000000" w:themeColor="text1"/>
          <w:sz w:val="22"/>
          <w:szCs w:val="22"/>
        </w:rPr>
        <w:t xml:space="preserve"> </w:t>
      </w:r>
      <w:r w:rsidR="00077117">
        <w:rPr>
          <w:rFonts w:ascii="Franklin Gothic Book" w:hAnsi="Franklin Gothic Book" w:cstheme="minorHAnsi"/>
          <w:color w:val="000000" w:themeColor="text1"/>
          <w:sz w:val="22"/>
          <w:szCs w:val="22"/>
        </w:rPr>
        <w:t>with</w:t>
      </w:r>
      <w:r>
        <w:rPr>
          <w:rFonts w:ascii="Franklin Gothic Book" w:hAnsi="Franklin Gothic Book" w:cstheme="minorHAnsi"/>
          <w:color w:val="000000" w:themeColor="text1"/>
          <w:sz w:val="22"/>
          <w:szCs w:val="22"/>
        </w:rPr>
        <w:t xml:space="preserve"> the intended scope and costing</w:t>
      </w:r>
      <w:r w:rsidR="00077117">
        <w:rPr>
          <w:rFonts w:ascii="Franklin Gothic Book" w:hAnsi="Franklin Gothic Book" w:cstheme="minorHAnsi"/>
          <w:color w:val="000000" w:themeColor="text1"/>
          <w:sz w:val="22"/>
          <w:szCs w:val="22"/>
        </w:rPr>
        <w:t xml:space="preserve"> to</w:t>
      </w:r>
      <w:r>
        <w:rPr>
          <w:rFonts w:ascii="Franklin Gothic Book" w:hAnsi="Franklin Gothic Book" w:cstheme="minorHAnsi"/>
          <w:color w:val="000000" w:themeColor="text1"/>
          <w:sz w:val="22"/>
          <w:szCs w:val="22"/>
        </w:rPr>
        <w:t xml:space="preserve"> allow for</w:t>
      </w:r>
      <w:r w:rsidRPr="00BB4FB0">
        <w:rPr>
          <w:rFonts w:ascii="Franklin Gothic Book" w:hAnsi="Franklin Gothic Book" w:cstheme="minorHAnsi"/>
          <w:color w:val="000000" w:themeColor="text1"/>
          <w:sz w:val="22"/>
          <w:szCs w:val="22"/>
        </w:rPr>
        <w:t xml:space="preserve"> up to 25 genes in total</w:t>
      </w:r>
      <w:r w:rsidR="00077117">
        <w:rPr>
          <w:rFonts w:ascii="Franklin Gothic Book" w:hAnsi="Franklin Gothic Book" w:cstheme="minorHAnsi"/>
          <w:color w:val="000000" w:themeColor="text1"/>
          <w:sz w:val="22"/>
          <w:szCs w:val="22"/>
        </w:rPr>
        <w:t>.</w:t>
      </w:r>
      <w:r>
        <w:rPr>
          <w:rFonts w:ascii="Franklin Gothic Book" w:hAnsi="Franklin Gothic Book" w:cstheme="minorHAnsi"/>
          <w:color w:val="000000" w:themeColor="text1"/>
          <w:sz w:val="22"/>
          <w:szCs w:val="22"/>
        </w:rPr>
        <w:t xml:space="preserve"> </w:t>
      </w:r>
      <w:r w:rsidR="00077117">
        <w:rPr>
          <w:rFonts w:ascii="Franklin Gothic Book" w:hAnsi="Franklin Gothic Book" w:cstheme="minorHAnsi"/>
          <w:color w:val="000000" w:themeColor="text1"/>
          <w:sz w:val="22"/>
          <w:szCs w:val="22"/>
        </w:rPr>
        <w:t>H</w:t>
      </w:r>
      <w:r>
        <w:rPr>
          <w:rFonts w:ascii="Franklin Gothic Book" w:hAnsi="Franklin Gothic Book" w:cstheme="minorHAnsi"/>
          <w:color w:val="000000" w:themeColor="text1"/>
          <w:sz w:val="22"/>
          <w:szCs w:val="22"/>
        </w:rPr>
        <w:t>owever, the Applicant’s experts</w:t>
      </w:r>
      <w:r w:rsidR="005A727C">
        <w:rPr>
          <w:rFonts w:ascii="Franklin Gothic Book" w:hAnsi="Franklin Gothic Book" w:cstheme="minorHAnsi"/>
          <w:color w:val="000000" w:themeColor="text1"/>
          <w:sz w:val="22"/>
          <w:szCs w:val="22"/>
        </w:rPr>
        <w:t xml:space="preserve"> proposed gene list</w:t>
      </w:r>
      <w:r>
        <w:rPr>
          <w:rFonts w:ascii="Franklin Gothic Book" w:hAnsi="Franklin Gothic Book" w:cstheme="minorHAnsi"/>
          <w:color w:val="000000" w:themeColor="text1"/>
          <w:sz w:val="22"/>
          <w:szCs w:val="22"/>
        </w:rPr>
        <w:t xml:space="preserve"> </w:t>
      </w:r>
      <w:r w:rsidR="005A727C">
        <w:rPr>
          <w:rFonts w:ascii="Franklin Gothic Book" w:hAnsi="Franklin Gothic Book" w:cstheme="minorHAnsi"/>
          <w:color w:val="000000" w:themeColor="text1"/>
          <w:sz w:val="22"/>
          <w:szCs w:val="22"/>
        </w:rPr>
        <w:t>was compared with</w:t>
      </w:r>
      <w:r>
        <w:rPr>
          <w:rFonts w:ascii="Franklin Gothic Book" w:hAnsi="Franklin Gothic Book" w:cstheme="minorHAnsi"/>
          <w:color w:val="000000" w:themeColor="text1"/>
          <w:sz w:val="22"/>
          <w:szCs w:val="22"/>
        </w:rPr>
        <w:t xml:space="preserve"> the WHO CNS5 list </w:t>
      </w:r>
      <w:r w:rsidR="00077117">
        <w:rPr>
          <w:rFonts w:ascii="Franklin Gothic Book" w:hAnsi="Franklin Gothic Book" w:cstheme="minorHAnsi"/>
          <w:color w:val="000000" w:themeColor="text1"/>
          <w:sz w:val="22"/>
          <w:szCs w:val="22"/>
        </w:rPr>
        <w:t xml:space="preserve">of </w:t>
      </w:r>
      <w:r>
        <w:rPr>
          <w:rFonts w:ascii="Franklin Gothic Book" w:hAnsi="Franklin Gothic Book" w:cstheme="minorHAnsi"/>
          <w:color w:val="000000" w:themeColor="text1"/>
          <w:sz w:val="22"/>
          <w:szCs w:val="22"/>
        </w:rPr>
        <w:t xml:space="preserve">44 genes with diagnostic, prognostic and predictive utility. </w:t>
      </w:r>
      <w:r w:rsidR="005A727C">
        <w:rPr>
          <w:rFonts w:ascii="Franklin Gothic Book" w:hAnsi="Franklin Gothic Book" w:cstheme="minorHAnsi"/>
          <w:color w:val="000000" w:themeColor="text1"/>
          <w:sz w:val="22"/>
          <w:szCs w:val="22"/>
        </w:rPr>
        <w:t>MSAC not</w:t>
      </w:r>
      <w:r w:rsidR="005A43D7">
        <w:rPr>
          <w:rFonts w:ascii="Franklin Gothic Book" w:hAnsi="Franklin Gothic Book" w:cstheme="minorHAnsi"/>
          <w:color w:val="000000" w:themeColor="text1"/>
          <w:sz w:val="22"/>
          <w:szCs w:val="22"/>
        </w:rPr>
        <w:t>ed</w:t>
      </w:r>
      <w:r>
        <w:rPr>
          <w:rFonts w:ascii="Franklin Gothic Book" w:hAnsi="Franklin Gothic Book" w:cstheme="minorHAnsi"/>
          <w:color w:val="000000" w:themeColor="text1"/>
          <w:sz w:val="22"/>
          <w:szCs w:val="22"/>
        </w:rPr>
        <w:t xml:space="preserve"> </w:t>
      </w:r>
      <w:r w:rsidR="005A727C">
        <w:rPr>
          <w:rFonts w:ascii="Franklin Gothic Book" w:hAnsi="Franklin Gothic Book" w:cstheme="minorHAnsi"/>
          <w:color w:val="000000" w:themeColor="text1"/>
          <w:sz w:val="22"/>
          <w:szCs w:val="22"/>
        </w:rPr>
        <w:t>i</w:t>
      </w:r>
      <w:r>
        <w:rPr>
          <w:rFonts w:ascii="Franklin Gothic Book" w:hAnsi="Franklin Gothic Book" w:cstheme="minorHAnsi"/>
          <w:color w:val="000000" w:themeColor="text1"/>
          <w:sz w:val="22"/>
          <w:szCs w:val="22"/>
        </w:rPr>
        <w:t xml:space="preserve">t is difficult to convey within the confines of an item descriptor the expected panel size necessary to be fit-for-purpose when only a subset of the WHO CNS5 genes are provided for. Testing limited to just the Applicant’s essential genes would meet the requirements for the claiming the fee but </w:t>
      </w:r>
      <w:r w:rsidR="00077117">
        <w:rPr>
          <w:rFonts w:ascii="Franklin Gothic Book" w:hAnsi="Franklin Gothic Book" w:cstheme="minorHAnsi"/>
          <w:color w:val="000000" w:themeColor="text1"/>
          <w:sz w:val="22"/>
          <w:szCs w:val="22"/>
        </w:rPr>
        <w:t xml:space="preserve">may </w:t>
      </w:r>
      <w:r>
        <w:rPr>
          <w:rFonts w:ascii="Franklin Gothic Book" w:hAnsi="Franklin Gothic Book" w:cstheme="minorHAnsi"/>
          <w:color w:val="000000" w:themeColor="text1"/>
          <w:sz w:val="22"/>
          <w:szCs w:val="22"/>
        </w:rPr>
        <w:t xml:space="preserve">not adequately characterise all glial tumours. </w:t>
      </w:r>
    </w:p>
    <w:p w14:paraId="303B4C47" w14:textId="498D586E" w:rsidR="00762925" w:rsidRPr="00C748C0" w:rsidRDefault="00762925" w:rsidP="00762925">
      <w:pPr>
        <w:pStyle w:val="NormalWeb"/>
        <w:numPr>
          <w:ilvl w:val="1"/>
          <w:numId w:val="13"/>
        </w:numPr>
        <w:jc w:val="both"/>
        <w:rPr>
          <w:rFonts w:ascii="Franklin Gothic Book" w:hAnsi="Franklin Gothic Book" w:cstheme="minorHAnsi"/>
          <w:iCs/>
          <w:sz w:val="22"/>
          <w:szCs w:val="22"/>
        </w:rPr>
      </w:pPr>
      <w:r>
        <w:rPr>
          <w:rFonts w:ascii="Franklin Gothic Book" w:hAnsi="Franklin Gothic Book" w:cstheme="minorHAnsi"/>
          <w:color w:val="000000" w:themeColor="text1"/>
          <w:sz w:val="22"/>
          <w:szCs w:val="22"/>
        </w:rPr>
        <w:t xml:space="preserve">The types of variants are not specified in the applicant’s proposed item descriptor, noting that </w:t>
      </w:r>
      <w:r w:rsidRPr="00EA7022">
        <w:rPr>
          <w:rFonts w:ascii="Franklin Gothic Book" w:hAnsi="Franklin Gothic Book" w:cstheme="minorHAnsi"/>
          <w:i/>
          <w:iCs/>
          <w:color w:val="000000" w:themeColor="text1"/>
          <w:sz w:val="22"/>
          <w:szCs w:val="22"/>
        </w:rPr>
        <w:t>BRAF</w:t>
      </w:r>
      <w:r>
        <w:rPr>
          <w:rFonts w:ascii="Franklin Gothic Book" w:hAnsi="Franklin Gothic Book" w:cstheme="minorHAnsi"/>
          <w:color w:val="000000" w:themeColor="text1"/>
          <w:sz w:val="22"/>
          <w:szCs w:val="22"/>
        </w:rPr>
        <w:t xml:space="preserve"> aberrations may be simple genetic variants (e.g., </w:t>
      </w:r>
      <w:r w:rsidRPr="008722F0">
        <w:rPr>
          <w:rFonts w:ascii="Franklin Gothic Book" w:hAnsi="Franklin Gothic Book" w:cstheme="minorHAnsi"/>
          <w:i/>
          <w:iCs/>
          <w:color w:val="000000" w:themeColor="text1"/>
          <w:sz w:val="22"/>
          <w:szCs w:val="22"/>
        </w:rPr>
        <w:t>BRAF</w:t>
      </w:r>
      <w:r>
        <w:rPr>
          <w:rFonts w:ascii="Franklin Gothic Book" w:hAnsi="Franklin Gothic Book" w:cstheme="minorHAnsi"/>
          <w:color w:val="000000" w:themeColor="text1"/>
          <w:sz w:val="22"/>
          <w:szCs w:val="22"/>
        </w:rPr>
        <w:t xml:space="preserve"> </w:t>
      </w:r>
      <w:r w:rsidRPr="0044448D">
        <w:rPr>
          <w:rFonts w:ascii="Franklin Gothic Book" w:hAnsi="Franklin Gothic Book" w:cstheme="minorHAnsi"/>
          <w:color w:val="000000" w:themeColor="text1"/>
          <w:sz w:val="22"/>
          <w:szCs w:val="22"/>
        </w:rPr>
        <w:t>V600</w:t>
      </w:r>
      <w:r>
        <w:rPr>
          <w:rFonts w:ascii="Franklin Gothic Book" w:hAnsi="Franklin Gothic Book" w:cstheme="minorHAnsi"/>
          <w:color w:val="000000" w:themeColor="text1"/>
          <w:sz w:val="22"/>
          <w:szCs w:val="22"/>
        </w:rPr>
        <w:t xml:space="preserve"> point substitutions) or structural variants (e.g.</w:t>
      </w:r>
      <w:r w:rsidR="00237848">
        <w:rPr>
          <w:rFonts w:ascii="Franklin Gothic Book" w:hAnsi="Franklin Gothic Book" w:cstheme="minorHAnsi"/>
          <w:color w:val="000000" w:themeColor="text1"/>
          <w:sz w:val="22"/>
          <w:szCs w:val="22"/>
        </w:rPr>
        <w:t xml:space="preserve"> </w:t>
      </w:r>
      <w:r w:rsidRPr="008722F0">
        <w:rPr>
          <w:rFonts w:ascii="Franklin Gothic Book" w:hAnsi="Franklin Gothic Book" w:cstheme="minorHAnsi"/>
          <w:i/>
          <w:iCs/>
          <w:color w:val="000000" w:themeColor="text1"/>
          <w:sz w:val="22"/>
          <w:szCs w:val="22"/>
        </w:rPr>
        <w:t>BRAF-KIAA1579</w:t>
      </w:r>
      <w:r>
        <w:rPr>
          <w:rFonts w:ascii="Franklin Gothic Book" w:hAnsi="Franklin Gothic Book" w:cstheme="minorHAnsi"/>
          <w:color w:val="000000" w:themeColor="text1"/>
          <w:sz w:val="22"/>
          <w:szCs w:val="22"/>
        </w:rPr>
        <w:t xml:space="preserve"> gene fusions). </w:t>
      </w:r>
      <w:r>
        <w:rPr>
          <w:rFonts w:ascii="Franklin Gothic Book" w:hAnsi="Franklin Gothic Book" w:cstheme="minorHAnsi"/>
          <w:iCs/>
          <w:color w:val="000000" w:themeColor="text1"/>
          <w:sz w:val="22"/>
          <w:szCs w:val="22"/>
        </w:rPr>
        <w:t>B</w:t>
      </w:r>
      <w:r w:rsidRPr="00BB4FB0">
        <w:rPr>
          <w:rFonts w:ascii="Franklin Gothic Book" w:hAnsi="Franklin Gothic Book" w:cstheme="minorHAnsi"/>
          <w:iCs/>
          <w:color w:val="000000" w:themeColor="text1"/>
          <w:sz w:val="22"/>
          <w:szCs w:val="22"/>
        </w:rPr>
        <w:t xml:space="preserve">oth DNA and RNA </w:t>
      </w:r>
      <w:r>
        <w:rPr>
          <w:rFonts w:ascii="Franklin Gothic Book" w:hAnsi="Franklin Gothic Book" w:cstheme="minorHAnsi"/>
          <w:iCs/>
          <w:color w:val="000000" w:themeColor="text1"/>
          <w:sz w:val="22"/>
          <w:szCs w:val="22"/>
        </w:rPr>
        <w:t xml:space="preserve">analysis within the NGS </w:t>
      </w:r>
      <w:r w:rsidRPr="00BB4FB0">
        <w:rPr>
          <w:rFonts w:ascii="Franklin Gothic Book" w:hAnsi="Franklin Gothic Book" w:cstheme="minorHAnsi"/>
          <w:iCs/>
          <w:color w:val="000000" w:themeColor="text1"/>
          <w:sz w:val="22"/>
          <w:szCs w:val="22"/>
        </w:rPr>
        <w:t xml:space="preserve">panels </w:t>
      </w:r>
      <w:r>
        <w:rPr>
          <w:rFonts w:ascii="Franklin Gothic Book" w:hAnsi="Franklin Gothic Book" w:cstheme="minorHAnsi"/>
          <w:iCs/>
          <w:color w:val="000000" w:themeColor="text1"/>
          <w:sz w:val="22"/>
          <w:szCs w:val="22"/>
        </w:rPr>
        <w:t xml:space="preserve">may be required </w:t>
      </w:r>
      <w:r w:rsidRPr="00BB4FB0">
        <w:rPr>
          <w:rFonts w:ascii="Franklin Gothic Book" w:hAnsi="Franklin Gothic Book" w:cstheme="minorHAnsi"/>
          <w:iCs/>
          <w:color w:val="000000" w:themeColor="text1"/>
          <w:sz w:val="22"/>
          <w:szCs w:val="22"/>
        </w:rPr>
        <w:t xml:space="preserve">to cover the </w:t>
      </w:r>
      <w:r w:rsidRPr="00BB4FB0">
        <w:rPr>
          <w:rFonts w:ascii="Franklin Gothic Book" w:hAnsi="Franklin Gothic Book" w:cstheme="minorHAnsi"/>
          <w:iCs/>
          <w:color w:val="000000" w:themeColor="text1"/>
          <w:sz w:val="22"/>
          <w:szCs w:val="22"/>
        </w:rPr>
        <w:lastRenderedPageBreak/>
        <w:t>expected range of single or multiple nucleotide level variants and structural or copy number variants; any costing would need to reflect these complexities.</w:t>
      </w:r>
      <w:r w:rsidRPr="00BB4FB0">
        <w:rPr>
          <w:rFonts w:ascii="Franklin Gothic Book" w:hAnsi="Franklin Gothic Book" w:cstheme="minorHAnsi"/>
          <w:color w:val="000000" w:themeColor="text1"/>
          <w:sz w:val="22"/>
          <w:szCs w:val="22"/>
        </w:rPr>
        <w:t xml:space="preserve"> </w:t>
      </w:r>
    </w:p>
    <w:p w14:paraId="6DEA101D" w14:textId="252D8B31" w:rsidR="00762925" w:rsidRPr="00D225C2" w:rsidRDefault="00762925" w:rsidP="00762925">
      <w:pPr>
        <w:pStyle w:val="NormalWeb"/>
        <w:numPr>
          <w:ilvl w:val="1"/>
          <w:numId w:val="13"/>
        </w:numPr>
        <w:jc w:val="both"/>
        <w:rPr>
          <w:rFonts w:ascii="Franklin Gothic Book" w:hAnsi="Franklin Gothic Book" w:cstheme="minorHAnsi"/>
          <w:iCs/>
          <w:sz w:val="22"/>
          <w:szCs w:val="22"/>
        </w:rPr>
      </w:pPr>
      <w:r w:rsidRPr="00BB4FB0">
        <w:rPr>
          <w:rFonts w:ascii="Franklin Gothic Book" w:hAnsi="Franklin Gothic Book" w:cstheme="minorHAnsi"/>
          <w:color w:val="000000" w:themeColor="text1"/>
          <w:sz w:val="22"/>
          <w:szCs w:val="22"/>
        </w:rPr>
        <w:t xml:space="preserve">The application does not define the diagnostic pathway or funding source for further investigations for patients </w:t>
      </w:r>
      <w:r w:rsidR="005A43D7">
        <w:rPr>
          <w:rFonts w:ascii="Franklin Gothic Book" w:hAnsi="Franklin Gothic Book" w:cstheme="minorHAnsi"/>
          <w:color w:val="000000" w:themeColor="text1"/>
          <w:sz w:val="22"/>
          <w:szCs w:val="22"/>
        </w:rPr>
        <w:t>who remain</w:t>
      </w:r>
      <w:r w:rsidR="005A43D7" w:rsidRPr="00BB4FB0">
        <w:rPr>
          <w:rFonts w:ascii="Franklin Gothic Book" w:hAnsi="Franklin Gothic Book" w:cstheme="minorHAnsi"/>
          <w:color w:val="000000" w:themeColor="text1"/>
          <w:sz w:val="22"/>
          <w:szCs w:val="22"/>
        </w:rPr>
        <w:t xml:space="preserve"> </w:t>
      </w:r>
      <w:r w:rsidRPr="00BB4FB0">
        <w:rPr>
          <w:rFonts w:ascii="Franklin Gothic Book" w:hAnsi="Franklin Gothic Book" w:cstheme="minorHAnsi"/>
          <w:color w:val="000000" w:themeColor="text1"/>
          <w:sz w:val="22"/>
          <w:szCs w:val="22"/>
        </w:rPr>
        <w:t xml:space="preserve">without a diagnosis after being tested with the proposed panel, which may </w:t>
      </w:r>
      <w:r w:rsidRPr="00BB4FB0">
        <w:rPr>
          <w:rFonts w:ascii="Franklin Gothic Book" w:hAnsi="Franklin Gothic Book" w:cstheme="minorHAnsi"/>
          <w:iCs/>
          <w:sz w:val="22"/>
          <w:szCs w:val="22"/>
        </w:rPr>
        <w:t>require other additional testing and also lead to potential equity issues.</w:t>
      </w:r>
    </w:p>
    <w:p w14:paraId="47791DF3" w14:textId="77777777" w:rsidR="00762925" w:rsidRPr="00C748C0" w:rsidRDefault="00762925" w:rsidP="00762925">
      <w:pPr>
        <w:pStyle w:val="NormalWeb"/>
        <w:jc w:val="both"/>
        <w:rPr>
          <w:rFonts w:ascii="Franklin Gothic Book" w:hAnsi="Franklin Gothic Book" w:cstheme="minorHAnsi"/>
          <w:color w:val="000000" w:themeColor="text1"/>
          <w:sz w:val="22"/>
          <w:szCs w:val="22"/>
        </w:rPr>
      </w:pPr>
      <w:r w:rsidRPr="00C748C0">
        <w:rPr>
          <w:rFonts w:ascii="Franklin Gothic Book" w:hAnsi="Franklin Gothic Book" w:cstheme="minorHAnsi"/>
          <w:color w:val="000000" w:themeColor="text1"/>
          <w:sz w:val="22"/>
          <w:szCs w:val="22"/>
        </w:rPr>
        <w:t xml:space="preserve">The following new </w:t>
      </w:r>
      <w:r>
        <w:rPr>
          <w:rFonts w:ascii="Franklin Gothic Book" w:hAnsi="Franklin Gothic Book" w:cstheme="minorHAnsi"/>
          <w:color w:val="000000" w:themeColor="text1"/>
          <w:sz w:val="22"/>
          <w:szCs w:val="22"/>
        </w:rPr>
        <w:t xml:space="preserve">MBS </w:t>
      </w:r>
      <w:r w:rsidRPr="00C748C0">
        <w:rPr>
          <w:rFonts w:ascii="Franklin Gothic Book" w:hAnsi="Franklin Gothic Book" w:cstheme="minorHAnsi"/>
          <w:color w:val="000000" w:themeColor="text1"/>
          <w:sz w:val="22"/>
          <w:szCs w:val="22"/>
        </w:rPr>
        <w:t xml:space="preserve">item descriptor </w:t>
      </w:r>
      <w:r>
        <w:rPr>
          <w:rFonts w:ascii="Franklin Gothic Book" w:hAnsi="Franklin Gothic Book" w:cstheme="minorHAnsi"/>
          <w:color w:val="000000" w:themeColor="text1"/>
          <w:sz w:val="22"/>
          <w:szCs w:val="22"/>
        </w:rPr>
        <w:t>wa</w:t>
      </w:r>
      <w:r w:rsidRPr="00C748C0">
        <w:rPr>
          <w:rFonts w:ascii="Franklin Gothic Book" w:hAnsi="Franklin Gothic Book" w:cstheme="minorHAnsi"/>
          <w:color w:val="000000" w:themeColor="text1"/>
          <w:sz w:val="22"/>
          <w:szCs w:val="22"/>
        </w:rPr>
        <w:t>s proposed</w:t>
      </w:r>
      <w:r>
        <w:rPr>
          <w:rFonts w:ascii="Franklin Gothic Book" w:hAnsi="Franklin Gothic Book" w:cstheme="minorHAnsi"/>
          <w:color w:val="000000" w:themeColor="text1"/>
          <w:sz w:val="22"/>
          <w:szCs w:val="22"/>
        </w:rPr>
        <w:t xml:space="preserve"> by the applicant</w:t>
      </w:r>
      <w:r w:rsidRPr="00C748C0">
        <w:rPr>
          <w:rFonts w:ascii="Franklin Gothic Book" w:hAnsi="Franklin Gothic Book" w:cstheme="minorHAnsi"/>
          <w:color w:val="000000" w:themeColor="text1"/>
          <w:sz w:val="22"/>
          <w:szCs w:val="22"/>
        </w:rPr>
        <w:t>:</w:t>
      </w:r>
    </w:p>
    <w:p w14:paraId="0C7EBF09" w14:textId="1BF68FFF" w:rsidR="00762925" w:rsidRPr="00CE28E3" w:rsidRDefault="00762925" w:rsidP="00762925">
      <w:pPr>
        <w:pStyle w:val="Caption"/>
        <w:rPr>
          <w:rFonts w:cs="Arial"/>
        </w:rPr>
      </w:pPr>
      <w:bookmarkStart w:id="21" w:name="_Ref69481033"/>
      <w:r>
        <w:t>Table </w:t>
      </w:r>
      <w:fldSimple w:instr=" SEQ Table \* ARABIC ">
        <w:r w:rsidR="00C00851">
          <w:rPr>
            <w:noProof/>
          </w:rPr>
          <w:t>2</w:t>
        </w:r>
      </w:fldSimple>
      <w:bookmarkEnd w:id="21"/>
      <w:r w:rsidRPr="00CE28E3">
        <w:rPr>
          <w:rFonts w:cs="Arial"/>
        </w:rPr>
        <w:tab/>
      </w:r>
      <w:r>
        <w:rPr>
          <w:rFonts w:cs="Arial"/>
        </w:rPr>
        <w:t>Applicant’s</w:t>
      </w:r>
      <w:r w:rsidRPr="00CE28E3">
        <w:rPr>
          <w:rFonts w:cs="Arial"/>
        </w:rPr>
        <w:t xml:space="preserve"> proposed MBS item </w:t>
      </w:r>
      <w:r>
        <w:rPr>
          <w:rFonts w:cs="Arial"/>
        </w:rPr>
        <w:t>descriptor</w:t>
      </w:r>
    </w:p>
    <w:tbl>
      <w:tblPr>
        <w:tblStyle w:val="TableGrid1"/>
        <w:tblW w:w="0" w:type="auto"/>
        <w:tblInd w:w="113" w:type="dxa"/>
        <w:tblLook w:val="04A0" w:firstRow="1" w:lastRow="0" w:firstColumn="1" w:lastColumn="0" w:noHBand="0" w:noVBand="1"/>
        <w:tblDescription w:val="Applicant’s proposed MBS item descriptor"/>
      </w:tblPr>
      <w:tblGrid>
        <w:gridCol w:w="8903"/>
      </w:tblGrid>
      <w:tr w:rsidR="00762925" w14:paraId="667EFBFB" w14:textId="77777777" w:rsidTr="00300F47">
        <w:trPr>
          <w:cnfStyle w:val="100000000000" w:firstRow="1" w:lastRow="0" w:firstColumn="0" w:lastColumn="0" w:oddVBand="0" w:evenVBand="0" w:oddHBand="0" w:evenHBand="0" w:firstRowFirstColumn="0" w:firstRowLastColumn="0" w:lastRowFirstColumn="0" w:lastRowLastColumn="0"/>
          <w:cantSplit/>
          <w:trHeight w:val="478"/>
        </w:trPr>
        <w:tc>
          <w:tcPr>
            <w:tcW w:w="8903" w:type="dxa"/>
          </w:tcPr>
          <w:p w14:paraId="757361E1" w14:textId="77777777" w:rsidR="00762925" w:rsidRDefault="00762925" w:rsidP="001315CE">
            <w:pPr>
              <w:pStyle w:val="TableHeading0"/>
              <w:jc w:val="right"/>
            </w:pPr>
            <w:r w:rsidRPr="00A53259">
              <w:t>Category 6 –Genetics P7</w:t>
            </w:r>
          </w:p>
        </w:tc>
      </w:tr>
      <w:tr w:rsidR="00762925" w14:paraId="2DE36EF0" w14:textId="77777777" w:rsidTr="00300F47">
        <w:trPr>
          <w:cantSplit/>
          <w:trHeight w:val="2932"/>
        </w:trPr>
        <w:tc>
          <w:tcPr>
            <w:tcW w:w="8903" w:type="dxa"/>
            <w:hideMark/>
          </w:tcPr>
          <w:p w14:paraId="3095C724" w14:textId="77777777" w:rsidR="00762925" w:rsidRPr="00E64C03" w:rsidRDefault="00762925" w:rsidP="001315CE">
            <w:pPr>
              <w:shd w:val="clear" w:color="auto" w:fill="FFFFFF"/>
              <w:rPr>
                <w:color w:val="000000"/>
                <w:sz w:val="20"/>
                <w:szCs w:val="20"/>
              </w:rPr>
            </w:pPr>
            <w:r w:rsidRPr="00E64C03">
              <w:rPr>
                <w:rFonts w:ascii="Arial Narrow" w:hAnsi="Arial Narrow"/>
                <w:color w:val="000000"/>
                <w:sz w:val="20"/>
                <w:szCs w:val="20"/>
              </w:rPr>
              <w:t>Analysis of tumour tissue from a patient with clinical or laboratory evidence, including morphological features, of glioma, glioneuronal tumour or glioblastoma that cannot be definitively classified by the current WHO criteria using morphology, immunohistochemistry and/or single gene testing.</w:t>
            </w:r>
            <w:r w:rsidRPr="00E64C03">
              <w:rPr>
                <w:rFonts w:ascii="Arial Narrow" w:hAnsi="Arial Narrow"/>
                <w:b/>
                <w:bCs/>
                <w:i/>
                <w:iCs/>
                <w:color w:val="000000"/>
                <w:sz w:val="20"/>
                <w:szCs w:val="20"/>
              </w:rPr>
              <w:t xml:space="preserve"> </w:t>
            </w:r>
            <w:r w:rsidRPr="00E64C03">
              <w:rPr>
                <w:rFonts w:ascii="Arial Narrow" w:hAnsi="Arial Narrow"/>
                <w:color w:val="000000"/>
                <w:sz w:val="20"/>
                <w:szCs w:val="20"/>
              </w:rPr>
              <w:t>As requested by a pathologist, specialist or consultant physician, for the detection of at least, but not limited to, the following variants on a single panel:</w:t>
            </w:r>
          </w:p>
          <w:p w14:paraId="7D058CB0" w14:textId="77777777" w:rsidR="00762925" w:rsidRPr="00E64C03" w:rsidRDefault="00762925" w:rsidP="00762925">
            <w:pPr>
              <w:pStyle w:val="ListParagraph"/>
              <w:widowControl w:val="0"/>
              <w:numPr>
                <w:ilvl w:val="0"/>
                <w:numId w:val="10"/>
              </w:numPr>
              <w:suppressAutoHyphens/>
              <w:spacing w:before="0" w:after="0" w:line="240" w:lineRule="auto"/>
              <w:rPr>
                <w:rFonts w:ascii="Arial Narrow" w:hAnsi="Arial Narrow"/>
                <w:sz w:val="20"/>
                <w:szCs w:val="20"/>
              </w:rPr>
            </w:pPr>
            <w:r w:rsidRPr="00E64C03">
              <w:rPr>
                <w:rFonts w:ascii="Arial Narrow" w:hAnsi="Arial Narrow"/>
                <w:i/>
                <w:iCs/>
                <w:sz w:val="20"/>
                <w:szCs w:val="20"/>
              </w:rPr>
              <w:t>IDH1, IDH2</w:t>
            </w:r>
            <w:r w:rsidRPr="00E64C03">
              <w:rPr>
                <w:rFonts w:ascii="Arial Narrow" w:hAnsi="Arial Narrow"/>
                <w:sz w:val="20"/>
                <w:szCs w:val="20"/>
              </w:rPr>
              <w:t xml:space="preserve"> variant testing</w:t>
            </w:r>
          </w:p>
          <w:p w14:paraId="58F32942" w14:textId="77777777" w:rsidR="00762925" w:rsidRPr="00E64C03" w:rsidRDefault="00762925" w:rsidP="00762925">
            <w:pPr>
              <w:pStyle w:val="ListParagraph"/>
              <w:widowControl w:val="0"/>
              <w:numPr>
                <w:ilvl w:val="0"/>
                <w:numId w:val="10"/>
              </w:numPr>
              <w:suppressAutoHyphens/>
              <w:spacing w:before="0" w:after="0" w:line="240" w:lineRule="auto"/>
              <w:rPr>
                <w:rFonts w:ascii="Arial Narrow" w:hAnsi="Arial Narrow"/>
                <w:sz w:val="20"/>
                <w:szCs w:val="20"/>
              </w:rPr>
            </w:pPr>
            <w:r w:rsidRPr="00E64C03">
              <w:rPr>
                <w:rFonts w:ascii="Arial Narrow" w:hAnsi="Arial Narrow"/>
                <w:sz w:val="20"/>
                <w:szCs w:val="20"/>
              </w:rPr>
              <w:t>1p/19</w:t>
            </w:r>
            <w:r>
              <w:rPr>
                <w:rFonts w:ascii="Arial Narrow" w:hAnsi="Arial Narrow"/>
                <w:sz w:val="20"/>
                <w:szCs w:val="20"/>
              </w:rPr>
              <w:t>q</w:t>
            </w:r>
            <w:r w:rsidRPr="00E64C03">
              <w:rPr>
                <w:rFonts w:ascii="Arial Narrow" w:hAnsi="Arial Narrow"/>
                <w:sz w:val="20"/>
                <w:szCs w:val="20"/>
              </w:rPr>
              <w:t xml:space="preserve"> co-deletion assessment</w:t>
            </w:r>
          </w:p>
          <w:p w14:paraId="0382A36B" w14:textId="77777777" w:rsidR="00762925" w:rsidRPr="00E64C03" w:rsidRDefault="00762925" w:rsidP="00762925">
            <w:pPr>
              <w:pStyle w:val="ListParagraph"/>
              <w:widowControl w:val="0"/>
              <w:numPr>
                <w:ilvl w:val="0"/>
                <w:numId w:val="11"/>
              </w:numPr>
              <w:suppressAutoHyphens/>
              <w:spacing w:before="0" w:after="0" w:line="240" w:lineRule="auto"/>
              <w:rPr>
                <w:rFonts w:ascii="Arial Narrow" w:hAnsi="Arial Narrow"/>
                <w:sz w:val="20"/>
                <w:szCs w:val="20"/>
              </w:rPr>
            </w:pPr>
            <w:r w:rsidRPr="00E64C03">
              <w:rPr>
                <w:rFonts w:ascii="Arial Narrow" w:hAnsi="Arial Narrow"/>
                <w:i/>
                <w:sz w:val="20"/>
                <w:szCs w:val="20"/>
              </w:rPr>
              <w:t>H3F3A</w:t>
            </w:r>
            <w:r w:rsidRPr="00E64C03">
              <w:rPr>
                <w:rFonts w:ascii="Arial Narrow" w:hAnsi="Arial Narrow"/>
                <w:sz w:val="20"/>
                <w:szCs w:val="20"/>
              </w:rPr>
              <w:t xml:space="preserve"> K27 and </w:t>
            </w:r>
            <w:r w:rsidRPr="00E64C03">
              <w:rPr>
                <w:rFonts w:ascii="Arial Narrow" w:hAnsi="Arial Narrow"/>
                <w:i/>
                <w:sz w:val="20"/>
                <w:szCs w:val="20"/>
              </w:rPr>
              <w:t>H3F3A</w:t>
            </w:r>
            <w:r w:rsidRPr="00E64C03">
              <w:rPr>
                <w:rFonts w:ascii="Arial Narrow" w:hAnsi="Arial Narrow"/>
                <w:sz w:val="20"/>
                <w:szCs w:val="20"/>
              </w:rPr>
              <w:t xml:space="preserve"> G34 mutation status</w:t>
            </w:r>
          </w:p>
          <w:p w14:paraId="45C3FC90" w14:textId="77777777" w:rsidR="00762925" w:rsidRPr="00E64C03" w:rsidRDefault="00762925" w:rsidP="00762925">
            <w:pPr>
              <w:pStyle w:val="ListParagraph"/>
              <w:widowControl w:val="0"/>
              <w:numPr>
                <w:ilvl w:val="0"/>
                <w:numId w:val="11"/>
              </w:numPr>
              <w:suppressAutoHyphens/>
              <w:spacing w:before="0" w:after="0" w:line="240" w:lineRule="auto"/>
              <w:rPr>
                <w:rFonts w:ascii="Arial Narrow" w:hAnsi="Arial Narrow"/>
                <w:sz w:val="20"/>
                <w:szCs w:val="20"/>
              </w:rPr>
            </w:pPr>
            <w:r w:rsidRPr="00E64C03">
              <w:rPr>
                <w:rFonts w:ascii="Arial Narrow" w:hAnsi="Arial Narrow"/>
                <w:i/>
                <w:iCs/>
                <w:sz w:val="20"/>
                <w:szCs w:val="20"/>
              </w:rPr>
              <w:t>TERT</w:t>
            </w:r>
            <w:r w:rsidRPr="00E64C03">
              <w:rPr>
                <w:rFonts w:ascii="Arial Narrow" w:hAnsi="Arial Narrow"/>
                <w:sz w:val="20"/>
                <w:szCs w:val="20"/>
              </w:rPr>
              <w:t xml:space="preserve"> promoter mutation status</w:t>
            </w:r>
          </w:p>
          <w:p w14:paraId="0ABCFF1A" w14:textId="77777777" w:rsidR="00762925" w:rsidRPr="00E64C03" w:rsidRDefault="00762925" w:rsidP="00762925">
            <w:pPr>
              <w:pStyle w:val="ListParagraph"/>
              <w:widowControl w:val="0"/>
              <w:numPr>
                <w:ilvl w:val="0"/>
                <w:numId w:val="11"/>
              </w:numPr>
              <w:suppressAutoHyphens/>
              <w:spacing w:before="0" w:after="0" w:line="240" w:lineRule="auto"/>
              <w:rPr>
                <w:rFonts w:ascii="Arial Narrow" w:hAnsi="Arial Narrow"/>
                <w:sz w:val="20"/>
                <w:szCs w:val="20"/>
              </w:rPr>
            </w:pPr>
            <w:r w:rsidRPr="00E64C03">
              <w:rPr>
                <w:rFonts w:ascii="Arial Narrow" w:hAnsi="Arial Narrow"/>
                <w:i/>
                <w:iCs/>
                <w:sz w:val="20"/>
                <w:szCs w:val="20"/>
              </w:rPr>
              <w:t>EGFR</w:t>
            </w:r>
            <w:r w:rsidRPr="00E64C03">
              <w:rPr>
                <w:rFonts w:ascii="Arial Narrow" w:hAnsi="Arial Narrow"/>
                <w:sz w:val="20"/>
                <w:szCs w:val="20"/>
              </w:rPr>
              <w:t xml:space="preserve"> amplification</w:t>
            </w:r>
          </w:p>
          <w:p w14:paraId="0F93334F" w14:textId="77777777" w:rsidR="00762925" w:rsidRPr="00E64C03" w:rsidRDefault="00762925" w:rsidP="00762925">
            <w:pPr>
              <w:pStyle w:val="ListParagraph"/>
              <w:widowControl w:val="0"/>
              <w:numPr>
                <w:ilvl w:val="0"/>
                <w:numId w:val="11"/>
              </w:numPr>
              <w:suppressAutoHyphens/>
              <w:spacing w:before="0" w:after="0" w:line="240" w:lineRule="auto"/>
              <w:rPr>
                <w:rFonts w:ascii="Arial Narrow" w:hAnsi="Arial Narrow"/>
                <w:sz w:val="20"/>
                <w:szCs w:val="20"/>
              </w:rPr>
            </w:pPr>
            <w:r w:rsidRPr="00E64C03">
              <w:rPr>
                <w:rFonts w:ascii="Arial Narrow" w:hAnsi="Arial Narrow"/>
                <w:i/>
                <w:sz w:val="20"/>
                <w:szCs w:val="20"/>
              </w:rPr>
              <w:t>CDKN2A/B</w:t>
            </w:r>
            <w:r w:rsidRPr="00E64C03">
              <w:rPr>
                <w:rFonts w:ascii="Arial Narrow" w:hAnsi="Arial Narrow"/>
                <w:sz w:val="20"/>
                <w:szCs w:val="20"/>
              </w:rPr>
              <w:t xml:space="preserve"> deletion</w:t>
            </w:r>
          </w:p>
          <w:p w14:paraId="1D240D48" w14:textId="77777777" w:rsidR="00762925" w:rsidRPr="00E64C03" w:rsidRDefault="00762925" w:rsidP="00762925">
            <w:pPr>
              <w:pStyle w:val="ListParagraph"/>
              <w:widowControl w:val="0"/>
              <w:numPr>
                <w:ilvl w:val="0"/>
                <w:numId w:val="11"/>
              </w:numPr>
              <w:suppressAutoHyphens/>
              <w:spacing w:before="0" w:after="0" w:line="240" w:lineRule="auto"/>
              <w:rPr>
                <w:rFonts w:ascii="Arial Narrow" w:hAnsi="Arial Narrow"/>
                <w:sz w:val="20"/>
                <w:szCs w:val="20"/>
              </w:rPr>
            </w:pPr>
            <w:r w:rsidRPr="00E64C03">
              <w:rPr>
                <w:rFonts w:ascii="Arial Narrow" w:hAnsi="Arial Narrow"/>
                <w:i/>
                <w:sz w:val="20"/>
                <w:szCs w:val="20"/>
              </w:rPr>
              <w:t>BRAF</w:t>
            </w:r>
            <w:r w:rsidRPr="00E64C03">
              <w:rPr>
                <w:rFonts w:ascii="Arial Narrow" w:hAnsi="Arial Narrow"/>
                <w:sz w:val="20"/>
                <w:szCs w:val="20"/>
              </w:rPr>
              <w:t xml:space="preserve"> mutation status</w:t>
            </w:r>
            <w:r>
              <w:rPr>
                <w:rFonts w:ascii="Arial Narrow" w:hAnsi="Arial Narrow"/>
                <w:sz w:val="20"/>
                <w:szCs w:val="20"/>
              </w:rPr>
              <w:t>.</w:t>
            </w:r>
          </w:p>
          <w:p w14:paraId="0B1E43BF" w14:textId="77777777" w:rsidR="00762925" w:rsidRPr="00E64C03" w:rsidRDefault="00762925" w:rsidP="001315CE">
            <w:pPr>
              <w:rPr>
                <w:rFonts w:ascii="Arial Narrow" w:hAnsi="Arial Narrow"/>
                <w:sz w:val="20"/>
                <w:szCs w:val="20"/>
              </w:rPr>
            </w:pPr>
            <w:r w:rsidRPr="00E64C03">
              <w:rPr>
                <w:rFonts w:ascii="Arial Narrow" w:hAnsi="Arial Narrow"/>
                <w:sz w:val="20"/>
                <w:szCs w:val="20"/>
              </w:rPr>
              <w:t>Maximum one test per episode of disease</w:t>
            </w:r>
          </w:p>
          <w:p w14:paraId="2319BFE5" w14:textId="77777777" w:rsidR="00762925" w:rsidRDefault="00762925" w:rsidP="001315CE">
            <w:pPr>
              <w:rPr>
                <w:rFonts w:ascii="Arial Narrow" w:hAnsi="Arial Narrow"/>
              </w:rPr>
            </w:pPr>
            <w:r w:rsidRPr="00E64C03">
              <w:rPr>
                <w:rFonts w:ascii="Arial Narrow" w:hAnsi="Arial Narrow"/>
                <w:sz w:val="20"/>
                <w:szCs w:val="20"/>
              </w:rPr>
              <w:t>Fee:  $800 (85%)</w:t>
            </w:r>
          </w:p>
        </w:tc>
      </w:tr>
    </w:tbl>
    <w:p w14:paraId="1A3A16B3" w14:textId="24495100" w:rsidR="00300F47" w:rsidRDefault="00300F47" w:rsidP="00300F47">
      <w:pPr>
        <w:pStyle w:val="TableFooter"/>
      </w:pPr>
      <w:r>
        <w:t>Source: Application form.</w:t>
      </w:r>
    </w:p>
    <w:p w14:paraId="0923B041" w14:textId="77777777" w:rsidR="00762925" w:rsidRPr="005824A9" w:rsidRDefault="00762925" w:rsidP="00762925">
      <w:pPr>
        <w:pStyle w:val="Instructionaltext-afterfiguretable"/>
        <w:jc w:val="both"/>
        <w:rPr>
          <w:rFonts w:cstheme="minorHAnsi"/>
          <w:color w:val="000000" w:themeColor="text1"/>
        </w:rPr>
      </w:pPr>
      <w:r>
        <w:rPr>
          <w:rFonts w:cstheme="minorHAnsi"/>
          <w:color w:val="000000" w:themeColor="text1"/>
        </w:rPr>
        <w:t xml:space="preserve">In the letter from the RCPA dated 20 September 2021, the proposed fee was $800. </w:t>
      </w:r>
      <w:r w:rsidRPr="005824A9">
        <w:rPr>
          <w:rFonts w:cstheme="minorHAnsi"/>
          <w:color w:val="000000" w:themeColor="text1"/>
        </w:rPr>
        <w:t>As currently proposed</w:t>
      </w:r>
      <w:r>
        <w:rPr>
          <w:rFonts w:cstheme="minorHAnsi"/>
          <w:color w:val="000000" w:themeColor="text1"/>
        </w:rPr>
        <w:t xml:space="preserve"> in the application</w:t>
      </w:r>
      <w:r w:rsidRPr="00D75232">
        <w:rPr>
          <w:rFonts w:cstheme="minorHAnsi"/>
          <w:color w:val="000000" w:themeColor="text1"/>
        </w:rPr>
        <w:t xml:space="preserve"> </w:t>
      </w:r>
      <w:r>
        <w:rPr>
          <w:rFonts w:cstheme="minorHAnsi"/>
          <w:color w:val="000000" w:themeColor="text1"/>
        </w:rPr>
        <w:t>form lodged subsequently</w:t>
      </w:r>
      <w:r w:rsidRPr="005824A9">
        <w:rPr>
          <w:rFonts w:cstheme="minorHAnsi"/>
          <w:color w:val="000000" w:themeColor="text1"/>
        </w:rPr>
        <w:t>,</w:t>
      </w:r>
      <w:r>
        <w:rPr>
          <w:rFonts w:cstheme="minorHAnsi"/>
          <w:color w:val="000000" w:themeColor="text1"/>
        </w:rPr>
        <w:t xml:space="preserve"> it is unclear whether the fee is nominated here or</w:t>
      </w:r>
      <w:r w:rsidRPr="005824A9">
        <w:rPr>
          <w:rFonts w:cstheme="minorHAnsi"/>
          <w:color w:val="000000" w:themeColor="text1"/>
        </w:rPr>
        <w:t xml:space="preserve"> </w:t>
      </w:r>
      <w:r>
        <w:rPr>
          <w:rFonts w:cstheme="minorHAnsi"/>
          <w:color w:val="000000" w:themeColor="text1"/>
        </w:rPr>
        <w:t xml:space="preserve">the 85% benefit and this requires clarification. The fee </w:t>
      </w:r>
      <w:r w:rsidRPr="005824A9">
        <w:rPr>
          <w:rFonts w:cstheme="minorHAnsi"/>
          <w:color w:val="000000" w:themeColor="text1"/>
        </w:rPr>
        <w:t xml:space="preserve">would </w:t>
      </w:r>
      <w:r>
        <w:rPr>
          <w:rFonts w:cstheme="minorHAnsi"/>
          <w:color w:val="000000" w:themeColor="text1"/>
        </w:rPr>
        <w:t>need</w:t>
      </w:r>
      <w:r w:rsidRPr="005824A9">
        <w:rPr>
          <w:rFonts w:cstheme="minorHAnsi"/>
          <w:color w:val="000000" w:themeColor="text1"/>
        </w:rPr>
        <w:t xml:space="preserve"> to be</w:t>
      </w:r>
      <w:r>
        <w:rPr>
          <w:rFonts w:cstheme="minorHAnsi"/>
          <w:color w:val="000000" w:themeColor="text1"/>
        </w:rPr>
        <w:t xml:space="preserve"> </w:t>
      </w:r>
      <w:r w:rsidRPr="005824A9">
        <w:rPr>
          <w:rFonts w:cstheme="minorHAnsi"/>
          <w:color w:val="000000" w:themeColor="text1"/>
        </w:rPr>
        <w:t>$</w:t>
      </w:r>
      <w:r>
        <w:rPr>
          <w:rFonts w:cstheme="minorHAnsi"/>
          <w:color w:val="000000" w:themeColor="text1"/>
        </w:rPr>
        <w:t>887.90</w:t>
      </w:r>
      <w:r w:rsidRPr="005824A9">
        <w:rPr>
          <w:rFonts w:cstheme="minorHAnsi"/>
          <w:color w:val="000000" w:themeColor="text1"/>
        </w:rPr>
        <w:t xml:space="preserve"> </w:t>
      </w:r>
      <w:r>
        <w:rPr>
          <w:rFonts w:cstheme="minorHAnsi"/>
          <w:color w:val="000000" w:themeColor="text1"/>
        </w:rPr>
        <w:t>for</w:t>
      </w:r>
      <w:r w:rsidRPr="005824A9">
        <w:rPr>
          <w:rFonts w:cstheme="minorHAnsi"/>
          <w:color w:val="000000" w:themeColor="text1"/>
        </w:rPr>
        <w:t xml:space="preserve"> the</w:t>
      </w:r>
      <w:r>
        <w:rPr>
          <w:rFonts w:cstheme="minorHAnsi"/>
          <w:color w:val="000000" w:themeColor="text1"/>
        </w:rPr>
        <w:t xml:space="preserve"> 85%</w:t>
      </w:r>
      <w:r w:rsidRPr="005824A9">
        <w:rPr>
          <w:rFonts w:cstheme="minorHAnsi"/>
          <w:color w:val="000000" w:themeColor="text1"/>
        </w:rPr>
        <w:t xml:space="preserve"> benefit </w:t>
      </w:r>
      <w:r>
        <w:rPr>
          <w:rFonts w:cstheme="minorHAnsi"/>
          <w:color w:val="000000" w:themeColor="text1"/>
        </w:rPr>
        <w:t>to $800, taking in to account the Greatest Permissible Gap (currently $87.90) to ensure patients are minimally out of pocket for specialist services</w:t>
      </w:r>
      <w:r w:rsidRPr="005824A9">
        <w:rPr>
          <w:rFonts w:cstheme="minorHAnsi"/>
          <w:color w:val="000000" w:themeColor="text1"/>
        </w:rPr>
        <w:t xml:space="preserve">. </w:t>
      </w:r>
      <w:r>
        <w:rPr>
          <w:rFonts w:cstheme="minorHAnsi"/>
          <w:color w:val="000000" w:themeColor="text1"/>
        </w:rPr>
        <w:t xml:space="preserve"> The Applicant is requested to clarify this issue as it affects the item descriptor, cost-effectiveness assessments and calculations of the financial impact on the MBS. The $800 fee proposed in the letter of 20 September 2021 has been used in the calculations, with an 85% benefit of $712.10, taking into account the Greatest Permissible Gap.</w:t>
      </w:r>
    </w:p>
    <w:p w14:paraId="392D5088" w14:textId="77777777" w:rsidR="00762925" w:rsidRPr="00B13841" w:rsidRDefault="00762925" w:rsidP="00F94444">
      <w:pPr>
        <w:pStyle w:val="Instructionaltext-afterfiguretable"/>
        <w:spacing w:before="240"/>
        <w:jc w:val="both"/>
        <w:rPr>
          <w:rFonts w:cstheme="minorHAnsi"/>
          <w:color w:val="000000" w:themeColor="text1"/>
        </w:rPr>
      </w:pPr>
      <w:r w:rsidRPr="00B13841">
        <w:rPr>
          <w:rFonts w:cstheme="minorHAnsi"/>
          <w:color w:val="000000" w:themeColor="text1"/>
        </w:rPr>
        <w:t xml:space="preserve">To date, no gene panels listed in the MBS </w:t>
      </w:r>
      <w:r>
        <w:rPr>
          <w:rFonts w:cstheme="minorHAnsi"/>
          <w:color w:val="000000" w:themeColor="text1"/>
        </w:rPr>
        <w:t xml:space="preserve">proposing ‘up to 25 genes’ (although this is not included in the item descriptor) </w:t>
      </w:r>
      <w:r w:rsidRPr="00B13841">
        <w:rPr>
          <w:rFonts w:cstheme="minorHAnsi"/>
          <w:color w:val="000000" w:themeColor="text1"/>
        </w:rPr>
        <w:t>have been costed at a fee of $</w:t>
      </w:r>
      <w:r>
        <w:rPr>
          <w:rFonts w:cstheme="minorHAnsi"/>
          <w:color w:val="000000" w:themeColor="text1"/>
        </w:rPr>
        <w:t>887.90.</w:t>
      </w:r>
      <w:r w:rsidRPr="00B13841">
        <w:rPr>
          <w:rFonts w:cstheme="minorHAnsi"/>
          <w:color w:val="000000" w:themeColor="text1"/>
        </w:rPr>
        <w:t xml:space="preserve">  </w:t>
      </w:r>
      <w:r>
        <w:rPr>
          <w:rFonts w:cstheme="minorHAnsi"/>
          <w:color w:val="000000" w:themeColor="text1"/>
        </w:rPr>
        <w:t>A g</w:t>
      </w:r>
      <w:r w:rsidRPr="00B13841">
        <w:rPr>
          <w:rFonts w:cstheme="minorHAnsi"/>
          <w:color w:val="000000" w:themeColor="text1"/>
        </w:rPr>
        <w:t xml:space="preserve">ene panel </w:t>
      </w:r>
      <w:r>
        <w:rPr>
          <w:rFonts w:cstheme="minorHAnsi"/>
          <w:color w:val="000000" w:themeColor="text1"/>
        </w:rPr>
        <w:t>for somatic testing</w:t>
      </w:r>
      <w:r w:rsidRPr="00B13841">
        <w:rPr>
          <w:rFonts w:cstheme="minorHAnsi"/>
          <w:color w:val="000000" w:themeColor="text1"/>
        </w:rPr>
        <w:t xml:space="preserve"> with ‘at least’ 20 genes </w:t>
      </w:r>
      <w:r>
        <w:rPr>
          <w:rFonts w:cstheme="minorHAnsi"/>
          <w:color w:val="000000" w:themeColor="text1"/>
        </w:rPr>
        <w:t>at</w:t>
      </w:r>
      <w:r w:rsidRPr="00B13841">
        <w:rPr>
          <w:rFonts w:cstheme="minorHAnsi"/>
          <w:color w:val="000000" w:themeColor="text1"/>
        </w:rPr>
        <w:t xml:space="preserve"> a fee of $700</w:t>
      </w:r>
      <w:r>
        <w:rPr>
          <w:rFonts w:cstheme="minorHAnsi"/>
          <w:color w:val="000000" w:themeColor="text1"/>
        </w:rPr>
        <w:t xml:space="preserve"> (Application 1532)</w:t>
      </w:r>
      <w:r w:rsidRPr="00B13841">
        <w:rPr>
          <w:rFonts w:cstheme="minorHAnsi"/>
          <w:color w:val="000000" w:themeColor="text1"/>
        </w:rPr>
        <w:t xml:space="preserve"> </w:t>
      </w:r>
      <w:r>
        <w:rPr>
          <w:rFonts w:cstheme="minorHAnsi"/>
          <w:color w:val="000000" w:themeColor="text1"/>
        </w:rPr>
        <w:t>was</w:t>
      </w:r>
      <w:r w:rsidRPr="00B13841">
        <w:rPr>
          <w:rFonts w:cstheme="minorHAnsi"/>
          <w:color w:val="000000" w:themeColor="text1"/>
        </w:rPr>
        <w:t xml:space="preserve"> </w:t>
      </w:r>
      <w:r>
        <w:rPr>
          <w:rFonts w:cstheme="minorHAnsi"/>
          <w:color w:val="000000" w:themeColor="text1"/>
        </w:rPr>
        <w:t>supported by MSAC</w:t>
      </w:r>
      <w:r w:rsidRPr="00B13841">
        <w:rPr>
          <w:rFonts w:cstheme="minorHAnsi"/>
          <w:color w:val="000000" w:themeColor="text1"/>
        </w:rPr>
        <w:t xml:space="preserve">. </w:t>
      </w:r>
      <w:r>
        <w:rPr>
          <w:rFonts w:cstheme="minorHAnsi"/>
          <w:color w:val="000000" w:themeColor="text1"/>
        </w:rPr>
        <w:t>C</w:t>
      </w:r>
      <w:r w:rsidRPr="00B13841">
        <w:rPr>
          <w:rFonts w:cstheme="minorHAnsi"/>
          <w:color w:val="000000" w:themeColor="text1"/>
        </w:rPr>
        <w:t xml:space="preserve">ost considerations include the complexity of the gene analysis, </w:t>
      </w:r>
      <w:r w:rsidR="003746C1">
        <w:rPr>
          <w:rFonts w:cstheme="minorHAnsi"/>
          <w:color w:val="000000" w:themeColor="text1"/>
        </w:rPr>
        <w:t xml:space="preserve">the need to identify copy number variants and gene fusions </w:t>
      </w:r>
      <w:r w:rsidRPr="00B13841">
        <w:rPr>
          <w:rFonts w:cstheme="minorHAnsi"/>
          <w:color w:val="000000" w:themeColor="text1"/>
        </w:rPr>
        <w:t xml:space="preserve">and the likely number of additional genes to provide a workable multigene panel that is cost-effective. In addition, consideration of the likely requirement for complementary approaches utilising both DNA and RNA strategies for the identification of the required range of variants will be necessary. </w:t>
      </w:r>
      <w:r>
        <w:rPr>
          <w:rFonts w:cstheme="minorHAnsi"/>
          <w:color w:val="000000" w:themeColor="text1"/>
        </w:rPr>
        <w:t>There are a further 36 genes in addition to the 9 genes/chromosomes nominated with clinical utility in classifying gliomas in the WHO CNS5. The application form did not include a list of these genes, so to identify the potential candidate genes that might make up the proposed 25 genes (and by corollary, which would be excluded), the Applicant’s nominated expert was asked to provide a list prioritised according to maximum clinical utility (‘essential’, ‘highly desirable’ and ‘desirable’) and the WHO CNS5 and NHSE Genomic Test Directory were examined to identify any overlap with this list.</w:t>
      </w:r>
    </w:p>
    <w:p w14:paraId="1A773D9C" w14:textId="4F710E63" w:rsidR="00762925" w:rsidRPr="00D96C28" w:rsidRDefault="00762925" w:rsidP="00F94444">
      <w:pPr>
        <w:pStyle w:val="Instructionaltext-afterfiguretable"/>
        <w:spacing w:before="240"/>
        <w:jc w:val="both"/>
        <w:rPr>
          <w:rFonts w:cstheme="minorHAnsi"/>
          <w:color w:val="000000" w:themeColor="text1"/>
        </w:rPr>
      </w:pPr>
      <w:bookmarkStart w:id="22" w:name="_Hlk102047243"/>
      <w:r w:rsidRPr="00D96C28">
        <w:rPr>
          <w:rFonts w:cstheme="minorHAnsi"/>
          <w:color w:val="000000" w:themeColor="text1"/>
        </w:rPr>
        <w:lastRenderedPageBreak/>
        <w:t>Thus a</w:t>
      </w:r>
      <w:r>
        <w:rPr>
          <w:rFonts w:cstheme="minorHAnsi"/>
          <w:color w:val="000000" w:themeColor="text1"/>
        </w:rPr>
        <w:t xml:space="preserve"> total of 48 targets for variant characterisation are presented, reduced to</w:t>
      </w:r>
      <w:r w:rsidRPr="00D96C28">
        <w:rPr>
          <w:rFonts w:cstheme="minorHAnsi"/>
          <w:color w:val="000000" w:themeColor="text1"/>
        </w:rPr>
        <w:t xml:space="preserve"> </w:t>
      </w:r>
      <w:r>
        <w:rPr>
          <w:rFonts w:cstheme="minorHAnsi"/>
          <w:color w:val="000000" w:themeColor="text1"/>
        </w:rPr>
        <w:t xml:space="preserve">a </w:t>
      </w:r>
      <w:r w:rsidRPr="00D96C28">
        <w:rPr>
          <w:rFonts w:cstheme="minorHAnsi"/>
          <w:color w:val="000000" w:themeColor="text1"/>
        </w:rPr>
        <w:t xml:space="preserve">working list of </w:t>
      </w:r>
      <w:r>
        <w:rPr>
          <w:rFonts w:cstheme="minorHAnsi"/>
          <w:color w:val="000000" w:themeColor="text1"/>
        </w:rPr>
        <w:t>26</w:t>
      </w:r>
      <w:r w:rsidRPr="00D96C28">
        <w:rPr>
          <w:rFonts w:cstheme="minorHAnsi"/>
          <w:color w:val="000000" w:themeColor="text1"/>
        </w:rPr>
        <w:t xml:space="preserve"> genes</w:t>
      </w:r>
      <w:r>
        <w:rPr>
          <w:rFonts w:cstheme="minorHAnsi"/>
          <w:color w:val="000000" w:themeColor="text1"/>
        </w:rPr>
        <w:t xml:space="preserve"> or chromosomes</w:t>
      </w:r>
      <w:r w:rsidRPr="00D96C28">
        <w:rPr>
          <w:rFonts w:cstheme="minorHAnsi"/>
          <w:color w:val="000000" w:themeColor="text1"/>
        </w:rPr>
        <w:t xml:space="preserve"> </w:t>
      </w:r>
      <w:r>
        <w:rPr>
          <w:rFonts w:cstheme="minorHAnsi"/>
          <w:color w:val="000000" w:themeColor="text1"/>
        </w:rPr>
        <w:t>are</w:t>
      </w:r>
      <w:r w:rsidRPr="00D96C28">
        <w:rPr>
          <w:rFonts w:cstheme="minorHAnsi"/>
          <w:color w:val="000000" w:themeColor="text1"/>
        </w:rPr>
        <w:t xml:space="preserve"> presented in </w:t>
      </w:r>
      <w:r w:rsidRPr="00D96C28">
        <w:rPr>
          <w:rFonts w:cstheme="minorHAnsi"/>
          <w:color w:val="000000" w:themeColor="text1"/>
        </w:rPr>
        <w:fldChar w:fldCharType="begin"/>
      </w:r>
      <w:r w:rsidRPr="00D96C28">
        <w:rPr>
          <w:rFonts w:cstheme="minorHAnsi"/>
          <w:color w:val="000000" w:themeColor="text1"/>
        </w:rPr>
        <w:instrText xml:space="preserve"> REF _Ref96274717 \h  \* MERGEFORMAT </w:instrText>
      </w:r>
      <w:r w:rsidRPr="00D96C28">
        <w:rPr>
          <w:rFonts w:cstheme="minorHAnsi"/>
          <w:color w:val="000000" w:themeColor="text1"/>
        </w:rPr>
      </w:r>
      <w:r w:rsidRPr="00D96C28">
        <w:rPr>
          <w:rFonts w:cstheme="minorHAnsi"/>
          <w:color w:val="000000" w:themeColor="text1"/>
        </w:rPr>
        <w:fldChar w:fldCharType="separate"/>
      </w:r>
      <w:r w:rsidR="00C00851" w:rsidRPr="00C00851">
        <w:rPr>
          <w:color w:val="000000" w:themeColor="text1"/>
        </w:rPr>
        <w:t xml:space="preserve">Table </w:t>
      </w:r>
      <w:r w:rsidR="00C00851" w:rsidRPr="00C00851">
        <w:rPr>
          <w:noProof/>
          <w:color w:val="000000" w:themeColor="text1"/>
        </w:rPr>
        <w:t>3</w:t>
      </w:r>
      <w:r w:rsidRPr="00D96C28">
        <w:rPr>
          <w:rFonts w:cstheme="minorHAnsi"/>
          <w:color w:val="000000" w:themeColor="text1"/>
        </w:rPr>
        <w:fldChar w:fldCharType="end"/>
      </w:r>
      <w:r w:rsidRPr="00D96C28">
        <w:rPr>
          <w:rFonts w:cstheme="minorHAnsi"/>
          <w:color w:val="000000" w:themeColor="text1"/>
        </w:rPr>
        <w:t>, incorporating the intersection of those from the Applicant’s essential list,</w:t>
      </w:r>
      <w:r>
        <w:rPr>
          <w:rFonts w:cstheme="minorHAnsi"/>
          <w:color w:val="000000" w:themeColor="text1"/>
        </w:rPr>
        <w:t xml:space="preserve"> any</w:t>
      </w:r>
      <w:r w:rsidRPr="00D96C28">
        <w:rPr>
          <w:rFonts w:cstheme="minorHAnsi"/>
          <w:color w:val="000000" w:themeColor="text1"/>
        </w:rPr>
        <w:t xml:space="preserve"> additional genes from WHO CNS5</w:t>
      </w:r>
      <w:r>
        <w:rPr>
          <w:rFonts w:cstheme="minorHAnsi"/>
          <w:color w:val="000000" w:themeColor="text1"/>
        </w:rPr>
        <w:t xml:space="preserve"> </w:t>
      </w:r>
      <w:r w:rsidRPr="00D96C28">
        <w:rPr>
          <w:rFonts w:cstheme="minorHAnsi"/>
          <w:color w:val="000000" w:themeColor="text1"/>
        </w:rPr>
        <w:t>(all of which were included in the NHS</w:t>
      </w:r>
      <w:r>
        <w:rPr>
          <w:rFonts w:cstheme="minorHAnsi"/>
          <w:color w:val="000000" w:themeColor="text1"/>
        </w:rPr>
        <w:t>E</w:t>
      </w:r>
      <w:r w:rsidRPr="00D96C28">
        <w:rPr>
          <w:rFonts w:cstheme="minorHAnsi"/>
          <w:color w:val="000000" w:themeColor="text1"/>
        </w:rPr>
        <w:t xml:space="preserve"> Test Directory list) plus those from the NHS</w:t>
      </w:r>
      <w:r>
        <w:rPr>
          <w:rFonts w:cstheme="minorHAnsi"/>
          <w:color w:val="000000" w:themeColor="text1"/>
        </w:rPr>
        <w:t>E</w:t>
      </w:r>
      <w:r w:rsidRPr="00D96C28">
        <w:rPr>
          <w:rFonts w:cstheme="minorHAnsi"/>
          <w:color w:val="000000" w:themeColor="text1"/>
        </w:rPr>
        <w:t xml:space="preserve"> Test Directory that have been demonstrated to have clinical utility per their assessment process</w:t>
      </w:r>
      <w:r>
        <w:rPr>
          <w:rFonts w:cstheme="minorHAnsi"/>
          <w:color w:val="000000" w:themeColor="text1"/>
        </w:rPr>
        <w:t xml:space="preserve">, but not considering </w:t>
      </w:r>
      <w:r w:rsidRPr="00D96C28">
        <w:rPr>
          <w:rFonts w:cstheme="minorHAnsi"/>
          <w:color w:val="000000" w:themeColor="text1"/>
        </w:rPr>
        <w:t xml:space="preserve">paediatric gliomas or glioblastomas. </w:t>
      </w:r>
      <w:bookmarkEnd w:id="22"/>
      <w:r w:rsidRPr="00D96C28">
        <w:rPr>
          <w:rFonts w:cstheme="minorHAnsi"/>
          <w:color w:val="000000" w:themeColor="text1"/>
        </w:rPr>
        <w:t xml:space="preserve">Key differences are the inclusion of potentially </w:t>
      </w:r>
      <w:r w:rsidR="00AE4007">
        <w:rPr>
          <w:rFonts w:cstheme="minorHAnsi"/>
          <w:color w:val="000000" w:themeColor="text1"/>
        </w:rPr>
        <w:t>predictive</w:t>
      </w:r>
      <w:r w:rsidRPr="00D96C28">
        <w:rPr>
          <w:rFonts w:cstheme="minorHAnsi"/>
          <w:color w:val="000000" w:themeColor="text1"/>
        </w:rPr>
        <w:t xml:space="preserve"> targets in the NHS</w:t>
      </w:r>
      <w:r>
        <w:rPr>
          <w:rFonts w:cstheme="minorHAnsi"/>
          <w:color w:val="000000" w:themeColor="text1"/>
        </w:rPr>
        <w:t>E</w:t>
      </w:r>
      <w:r w:rsidRPr="00D96C28">
        <w:rPr>
          <w:rFonts w:cstheme="minorHAnsi"/>
          <w:color w:val="000000" w:themeColor="text1"/>
        </w:rPr>
        <w:t xml:space="preserve"> Genomic Test Directory</w:t>
      </w:r>
      <w:r>
        <w:rPr>
          <w:rFonts w:cstheme="minorHAnsi"/>
          <w:color w:val="000000" w:themeColor="text1"/>
        </w:rPr>
        <w:t xml:space="preserve">, indicated </w:t>
      </w:r>
      <w:r w:rsidRPr="00D96C28">
        <w:rPr>
          <w:rFonts w:cstheme="minorHAnsi"/>
          <w:color w:val="000000" w:themeColor="text1"/>
        </w:rPr>
        <w:t>if “(the)</w:t>
      </w:r>
      <w:r w:rsidRPr="00D96C28">
        <w:rPr>
          <w:rFonts w:cs="Calibri"/>
          <w:sz w:val="18"/>
          <w:szCs w:val="18"/>
        </w:rPr>
        <w:t xml:space="preserve"> </w:t>
      </w:r>
      <w:r w:rsidRPr="00D96C28">
        <w:rPr>
          <w:rFonts w:cstheme="minorHAnsi"/>
          <w:color w:val="000000" w:themeColor="text1"/>
        </w:rPr>
        <w:t xml:space="preserve">Patient's clinical status means they are eligible for an </w:t>
      </w:r>
      <w:r w:rsidRPr="0073135E">
        <w:rPr>
          <w:rFonts w:cstheme="minorHAnsi"/>
          <w:i/>
          <w:iCs/>
          <w:color w:val="000000" w:themeColor="text1"/>
        </w:rPr>
        <w:t>NTRK</w:t>
      </w:r>
      <w:r w:rsidRPr="00D96C28">
        <w:rPr>
          <w:rFonts w:cstheme="minorHAnsi"/>
          <w:color w:val="000000" w:themeColor="text1"/>
        </w:rPr>
        <w:t xml:space="preserve"> inhibitor in the event an </w:t>
      </w:r>
      <w:r w:rsidRPr="0073135E">
        <w:rPr>
          <w:rFonts w:cstheme="minorHAnsi"/>
          <w:i/>
          <w:iCs/>
          <w:color w:val="000000" w:themeColor="text1"/>
        </w:rPr>
        <w:t>NTRK</w:t>
      </w:r>
      <w:r w:rsidRPr="00D96C28">
        <w:rPr>
          <w:rFonts w:cstheme="minorHAnsi"/>
          <w:color w:val="000000" w:themeColor="text1"/>
        </w:rPr>
        <w:t xml:space="preserve"> rearrangement is detected.” It would be valuable to have a </w:t>
      </w:r>
      <w:r>
        <w:rPr>
          <w:rFonts w:cstheme="minorHAnsi"/>
          <w:color w:val="000000" w:themeColor="text1"/>
        </w:rPr>
        <w:t xml:space="preserve">genomic </w:t>
      </w:r>
      <w:r w:rsidRPr="00D96C28">
        <w:rPr>
          <w:rFonts w:cstheme="minorHAnsi"/>
          <w:color w:val="000000" w:themeColor="text1"/>
        </w:rPr>
        <w:t xml:space="preserve">test directory, led by Australian </w:t>
      </w:r>
      <w:r>
        <w:rPr>
          <w:rFonts w:cstheme="minorHAnsi"/>
          <w:color w:val="000000" w:themeColor="text1"/>
        </w:rPr>
        <w:t xml:space="preserve">clinical </w:t>
      </w:r>
      <w:r w:rsidRPr="00D96C28">
        <w:rPr>
          <w:rFonts w:cstheme="minorHAnsi"/>
          <w:color w:val="000000" w:themeColor="text1"/>
        </w:rPr>
        <w:t>experts</w:t>
      </w:r>
      <w:r>
        <w:rPr>
          <w:rFonts w:cstheme="minorHAnsi"/>
          <w:color w:val="000000" w:themeColor="text1"/>
        </w:rPr>
        <w:t xml:space="preserve"> including treating doctors</w:t>
      </w:r>
      <w:r w:rsidRPr="00D96C28">
        <w:rPr>
          <w:rFonts w:cstheme="minorHAnsi"/>
          <w:color w:val="000000" w:themeColor="text1"/>
        </w:rPr>
        <w:t xml:space="preserve"> to guide regarding the scope</w:t>
      </w:r>
      <w:r>
        <w:rPr>
          <w:rFonts w:cstheme="minorHAnsi"/>
          <w:color w:val="000000" w:themeColor="text1"/>
        </w:rPr>
        <w:t>, purpose and costing</w:t>
      </w:r>
      <w:r w:rsidRPr="00D96C28">
        <w:rPr>
          <w:rFonts w:cstheme="minorHAnsi"/>
          <w:color w:val="000000" w:themeColor="text1"/>
        </w:rPr>
        <w:t xml:space="preserve"> of testing</w:t>
      </w:r>
      <w:r>
        <w:rPr>
          <w:rFonts w:cstheme="minorHAnsi"/>
          <w:color w:val="000000" w:themeColor="text1"/>
        </w:rPr>
        <w:t>, especially</w:t>
      </w:r>
      <w:r w:rsidRPr="00D96C28">
        <w:rPr>
          <w:rFonts w:cstheme="minorHAnsi"/>
          <w:color w:val="000000" w:themeColor="text1"/>
        </w:rPr>
        <w:t xml:space="preserve"> if funding </w:t>
      </w:r>
      <w:r>
        <w:rPr>
          <w:rFonts w:cstheme="minorHAnsi"/>
          <w:color w:val="000000" w:themeColor="text1"/>
        </w:rPr>
        <w:t>is restricted</w:t>
      </w:r>
      <w:r w:rsidRPr="00D96C28">
        <w:rPr>
          <w:rFonts w:cstheme="minorHAnsi"/>
          <w:color w:val="000000" w:themeColor="text1"/>
        </w:rPr>
        <w:t xml:space="preserve"> to </w:t>
      </w:r>
      <w:r>
        <w:rPr>
          <w:rFonts w:cstheme="minorHAnsi"/>
          <w:color w:val="000000" w:themeColor="text1"/>
        </w:rPr>
        <w:t>analysing</w:t>
      </w:r>
      <w:r w:rsidRPr="00D96C28">
        <w:rPr>
          <w:rFonts w:cstheme="minorHAnsi"/>
          <w:color w:val="000000" w:themeColor="text1"/>
        </w:rPr>
        <w:t xml:space="preserve"> </w:t>
      </w:r>
      <w:r>
        <w:rPr>
          <w:rFonts w:cstheme="minorHAnsi"/>
          <w:color w:val="000000" w:themeColor="text1"/>
        </w:rPr>
        <w:t xml:space="preserve">variants in </w:t>
      </w:r>
      <w:r w:rsidRPr="00D96C28">
        <w:rPr>
          <w:rFonts w:cstheme="minorHAnsi"/>
          <w:color w:val="000000" w:themeColor="text1"/>
        </w:rPr>
        <w:t>25 rather than</w:t>
      </w:r>
      <w:r>
        <w:rPr>
          <w:rFonts w:cstheme="minorHAnsi"/>
          <w:color w:val="000000" w:themeColor="text1"/>
        </w:rPr>
        <w:t xml:space="preserve"> the potential</w:t>
      </w:r>
      <w:r w:rsidRPr="00D96C28">
        <w:rPr>
          <w:rFonts w:cstheme="minorHAnsi"/>
          <w:color w:val="000000" w:themeColor="text1"/>
        </w:rPr>
        <w:t xml:space="preserve"> 4</w:t>
      </w:r>
      <w:r>
        <w:rPr>
          <w:rFonts w:cstheme="minorHAnsi"/>
          <w:color w:val="000000" w:themeColor="text1"/>
        </w:rPr>
        <w:t>8</w:t>
      </w:r>
      <w:r w:rsidRPr="00D96C28">
        <w:rPr>
          <w:rFonts w:cstheme="minorHAnsi"/>
          <w:color w:val="000000" w:themeColor="text1"/>
        </w:rPr>
        <w:t xml:space="preserve"> </w:t>
      </w:r>
      <w:r>
        <w:rPr>
          <w:rFonts w:cstheme="minorHAnsi"/>
          <w:color w:val="000000" w:themeColor="text1"/>
        </w:rPr>
        <w:t xml:space="preserve">target </w:t>
      </w:r>
      <w:r w:rsidRPr="00D96C28">
        <w:rPr>
          <w:rFonts w:cstheme="minorHAnsi"/>
          <w:color w:val="000000" w:themeColor="text1"/>
        </w:rPr>
        <w:t>gene</w:t>
      </w:r>
      <w:r>
        <w:rPr>
          <w:rFonts w:cstheme="minorHAnsi"/>
          <w:color w:val="000000" w:themeColor="text1"/>
        </w:rPr>
        <w:t xml:space="preserve"> variants or copy number variants</w:t>
      </w:r>
      <w:r w:rsidRPr="00D96C28">
        <w:rPr>
          <w:rFonts w:cstheme="minorHAnsi"/>
          <w:color w:val="000000" w:themeColor="text1"/>
        </w:rPr>
        <w:t>.</w:t>
      </w:r>
    </w:p>
    <w:p w14:paraId="6B835918" w14:textId="1C82A7CD" w:rsidR="00762925" w:rsidRDefault="00762925" w:rsidP="00762925">
      <w:pPr>
        <w:pStyle w:val="Caption"/>
      </w:pPr>
      <w:bookmarkStart w:id="23" w:name="_Ref96274717"/>
      <w:r>
        <w:t xml:space="preserve">Table </w:t>
      </w:r>
      <w:fldSimple w:instr=" SEQ Table \* ARABIC ">
        <w:r w:rsidR="00C00851">
          <w:rPr>
            <w:noProof/>
          </w:rPr>
          <w:t>3</w:t>
        </w:r>
      </w:fldSimple>
      <w:bookmarkEnd w:id="23"/>
      <w:r>
        <w:t xml:space="preserve"> Genes, chromosomes and/or variants in the Applicant’s lists of ‘essential’, ‘highly desirable’ and ‘desirable’ genes, in comparison with NHS England’s Test Directory and WHO CNS5 genes. </w:t>
      </w:r>
    </w:p>
    <w:tbl>
      <w:tblPr>
        <w:tblStyle w:val="TableGrid"/>
        <w:tblW w:w="8755" w:type="dxa"/>
        <w:tblLook w:val="04A0" w:firstRow="1" w:lastRow="0" w:firstColumn="1" w:lastColumn="0" w:noHBand="0" w:noVBand="1"/>
      </w:tblPr>
      <w:tblGrid>
        <w:gridCol w:w="2802"/>
        <w:gridCol w:w="1761"/>
        <w:gridCol w:w="1499"/>
        <w:gridCol w:w="2693"/>
      </w:tblGrid>
      <w:tr w:rsidR="00762925" w:rsidRPr="00E32E06" w14:paraId="7CE34590" w14:textId="77777777" w:rsidTr="001315CE">
        <w:trPr>
          <w:trHeight w:val="295"/>
        </w:trPr>
        <w:tc>
          <w:tcPr>
            <w:tcW w:w="2802" w:type="dxa"/>
            <w:noWrap/>
            <w:hideMark/>
          </w:tcPr>
          <w:p w14:paraId="28FDDC3D" w14:textId="77777777" w:rsidR="00762925" w:rsidRPr="00E32E06" w:rsidRDefault="00762925" w:rsidP="001315CE">
            <w:pPr>
              <w:pStyle w:val="TableHeading0"/>
              <w:rPr>
                <w:color w:val="000000"/>
              </w:rPr>
            </w:pPr>
            <w:r w:rsidRPr="00E32E06">
              <w:t xml:space="preserve">Essential </w:t>
            </w:r>
            <w:r w:rsidRPr="00BB706D">
              <w:rPr>
                <w:b w:val="0"/>
                <w:bCs/>
              </w:rPr>
              <w:t>(8</w:t>
            </w:r>
            <w:r>
              <w:rPr>
                <w:b w:val="0"/>
                <w:bCs/>
              </w:rPr>
              <w:t>,</w:t>
            </w:r>
            <w:r w:rsidRPr="00BB706D">
              <w:rPr>
                <w:b w:val="0"/>
                <w:bCs/>
              </w:rPr>
              <w:t xml:space="preserve"> excl</w:t>
            </w:r>
            <w:r>
              <w:rPr>
                <w:b w:val="0"/>
                <w:bCs/>
              </w:rPr>
              <w:t>uding</w:t>
            </w:r>
            <w:r w:rsidRPr="00BB706D">
              <w:rPr>
                <w:b w:val="0"/>
                <w:bCs/>
                <w:i/>
                <w:iCs/>
              </w:rPr>
              <w:t xml:space="preserve"> MGMT</w:t>
            </w:r>
            <w:r w:rsidRPr="00BB706D">
              <w:rPr>
                <w:b w:val="0"/>
                <w:bCs/>
              </w:rPr>
              <w:t>)</w:t>
            </w:r>
          </w:p>
        </w:tc>
        <w:tc>
          <w:tcPr>
            <w:tcW w:w="1761" w:type="dxa"/>
          </w:tcPr>
          <w:p w14:paraId="2DF6E701" w14:textId="77777777" w:rsidR="00762925" w:rsidRPr="00E32E06" w:rsidRDefault="00762925" w:rsidP="001315CE">
            <w:pPr>
              <w:pStyle w:val="TableHeading0"/>
              <w:rPr>
                <w:color w:val="000000"/>
              </w:rPr>
            </w:pPr>
            <w:r w:rsidRPr="00E32E06">
              <w:rPr>
                <w:color w:val="000000"/>
              </w:rPr>
              <w:t>Highly desirable</w:t>
            </w:r>
            <w:r>
              <w:rPr>
                <w:color w:val="000000"/>
              </w:rPr>
              <w:t xml:space="preserve"> </w:t>
            </w:r>
            <w:r w:rsidRPr="00BB706D">
              <w:rPr>
                <w:b w:val="0"/>
                <w:bCs/>
                <w:color w:val="000000"/>
              </w:rPr>
              <w:t>(4)</w:t>
            </w:r>
          </w:p>
        </w:tc>
        <w:tc>
          <w:tcPr>
            <w:tcW w:w="1499" w:type="dxa"/>
          </w:tcPr>
          <w:p w14:paraId="7408D8D8" w14:textId="77777777" w:rsidR="00762925" w:rsidRPr="00E32E06" w:rsidRDefault="00762925" w:rsidP="001315CE">
            <w:pPr>
              <w:pStyle w:val="TableHeading0"/>
              <w:rPr>
                <w:color w:val="000000"/>
              </w:rPr>
            </w:pPr>
            <w:r w:rsidRPr="00E32E06">
              <w:rPr>
                <w:color w:val="000000"/>
              </w:rPr>
              <w:t>Desirable</w:t>
            </w:r>
            <w:r>
              <w:rPr>
                <w:color w:val="000000"/>
              </w:rPr>
              <w:t xml:space="preserve"> </w:t>
            </w:r>
            <w:r w:rsidRPr="00BB706D">
              <w:rPr>
                <w:b w:val="0"/>
                <w:bCs/>
                <w:color w:val="000000"/>
              </w:rPr>
              <w:t>(31)</w:t>
            </w:r>
          </w:p>
        </w:tc>
        <w:tc>
          <w:tcPr>
            <w:tcW w:w="2693" w:type="dxa"/>
          </w:tcPr>
          <w:p w14:paraId="1273BB40" w14:textId="77777777" w:rsidR="00762925" w:rsidRPr="00E32E06" w:rsidRDefault="00762925" w:rsidP="001315CE">
            <w:pPr>
              <w:pStyle w:val="TableHeading0"/>
              <w:rPr>
                <w:color w:val="000000"/>
              </w:rPr>
            </w:pPr>
            <w:r>
              <w:rPr>
                <w:color w:val="000000"/>
              </w:rPr>
              <w:t xml:space="preserve">NHSE Directory/WHO CNS5 </w:t>
            </w:r>
            <w:r w:rsidRPr="00BB706D">
              <w:rPr>
                <w:b w:val="0"/>
                <w:bCs/>
                <w:color w:val="000000"/>
              </w:rPr>
              <w:t>(5)</w:t>
            </w:r>
          </w:p>
        </w:tc>
      </w:tr>
      <w:tr w:rsidR="00762925" w:rsidRPr="003D5014" w14:paraId="7FA6496A" w14:textId="77777777" w:rsidTr="001315CE">
        <w:trPr>
          <w:trHeight w:val="295"/>
        </w:trPr>
        <w:tc>
          <w:tcPr>
            <w:tcW w:w="2802" w:type="dxa"/>
            <w:noWrap/>
          </w:tcPr>
          <w:p w14:paraId="35F091CF" w14:textId="77777777" w:rsidR="00762925" w:rsidRPr="00582929" w:rsidRDefault="00762925" w:rsidP="001315CE">
            <w:pPr>
              <w:pStyle w:val="Tabletext0"/>
              <w:rPr>
                <w:rFonts w:cs="Arial"/>
                <w:i/>
                <w:iCs/>
                <w:color w:val="000000"/>
                <w:highlight w:val="green"/>
                <w:vertAlign w:val="superscript"/>
              </w:rPr>
            </w:pPr>
            <w:r w:rsidRPr="00582929">
              <w:rPr>
                <w:rFonts w:cs="Arial"/>
                <w:i/>
                <w:iCs/>
                <w:color w:val="000000"/>
                <w:highlight w:val="green"/>
              </w:rPr>
              <w:t>IDH1</w:t>
            </w:r>
          </w:p>
        </w:tc>
        <w:tc>
          <w:tcPr>
            <w:tcW w:w="1761" w:type="dxa"/>
          </w:tcPr>
          <w:p w14:paraId="69168CA3" w14:textId="77777777" w:rsidR="00762925" w:rsidRPr="00BB706D" w:rsidRDefault="00762925" w:rsidP="001315CE">
            <w:pPr>
              <w:pStyle w:val="Tabletext0"/>
              <w:rPr>
                <w:rFonts w:cs="Arial"/>
                <w:b/>
                <w:bCs/>
                <w:i/>
                <w:iCs/>
                <w:color w:val="000000"/>
                <w:highlight w:val="green"/>
              </w:rPr>
            </w:pPr>
            <w:r w:rsidRPr="00BB706D">
              <w:rPr>
                <w:rFonts w:cs="Arial"/>
                <w:b/>
                <w:bCs/>
                <w:i/>
                <w:iCs/>
                <w:color w:val="000000"/>
                <w:highlight w:val="green"/>
              </w:rPr>
              <w:t>CDKN2A</w:t>
            </w:r>
            <w:r>
              <w:rPr>
                <w:rFonts w:cs="Arial"/>
                <w:b/>
                <w:bCs/>
                <w:i/>
                <w:iCs/>
                <w:color w:val="000000"/>
                <w:highlight w:val="green"/>
              </w:rPr>
              <w:t>*</w:t>
            </w:r>
          </w:p>
        </w:tc>
        <w:tc>
          <w:tcPr>
            <w:tcW w:w="1499" w:type="dxa"/>
            <w:vAlign w:val="bottom"/>
          </w:tcPr>
          <w:p w14:paraId="211E2C46" w14:textId="77777777" w:rsidR="00762925" w:rsidRPr="009D497B" w:rsidRDefault="00762925" w:rsidP="001315CE">
            <w:pPr>
              <w:pStyle w:val="Tabletext0"/>
              <w:rPr>
                <w:rFonts w:cs="Arial"/>
                <w:i/>
                <w:iCs/>
                <w:color w:val="000000"/>
                <w:highlight w:val="green"/>
              </w:rPr>
            </w:pPr>
            <w:r w:rsidRPr="009D497B">
              <w:rPr>
                <w:rFonts w:cs="Arial"/>
                <w:i/>
                <w:iCs/>
                <w:color w:val="000000"/>
              </w:rPr>
              <w:t>ACVR1</w:t>
            </w:r>
          </w:p>
        </w:tc>
        <w:tc>
          <w:tcPr>
            <w:tcW w:w="2693" w:type="dxa"/>
          </w:tcPr>
          <w:p w14:paraId="1D9531DA" w14:textId="77777777" w:rsidR="00762925" w:rsidRPr="009D497B" w:rsidRDefault="00762925" w:rsidP="001315CE">
            <w:pPr>
              <w:pStyle w:val="Tabletext0"/>
              <w:rPr>
                <w:rFonts w:cs="Arial"/>
                <w:i/>
                <w:iCs/>
                <w:color w:val="000000"/>
                <w:highlight w:val="green"/>
              </w:rPr>
            </w:pPr>
            <w:r w:rsidRPr="009D497B">
              <w:rPr>
                <w:rFonts w:cs="Arial"/>
                <w:i/>
                <w:iCs/>
                <w:color w:val="000000"/>
                <w:highlight w:val="green"/>
              </w:rPr>
              <w:t>ATRX</w:t>
            </w:r>
          </w:p>
        </w:tc>
      </w:tr>
      <w:tr w:rsidR="00762925" w:rsidRPr="003D5014" w14:paraId="370EC54D" w14:textId="77777777" w:rsidTr="001315CE">
        <w:trPr>
          <w:trHeight w:val="295"/>
        </w:trPr>
        <w:tc>
          <w:tcPr>
            <w:tcW w:w="2802" w:type="dxa"/>
            <w:noWrap/>
            <w:hideMark/>
          </w:tcPr>
          <w:p w14:paraId="295B63D1" w14:textId="77777777" w:rsidR="00762925" w:rsidRPr="009D497B" w:rsidRDefault="00762925" w:rsidP="001315CE">
            <w:pPr>
              <w:pStyle w:val="Tabletext0"/>
              <w:rPr>
                <w:rFonts w:cs="Arial"/>
                <w:i/>
                <w:iCs/>
                <w:color w:val="000000"/>
                <w:highlight w:val="green"/>
              </w:rPr>
            </w:pPr>
            <w:r w:rsidRPr="009D497B">
              <w:rPr>
                <w:rFonts w:cs="Arial"/>
                <w:i/>
                <w:iCs/>
                <w:color w:val="000000"/>
                <w:highlight w:val="green"/>
              </w:rPr>
              <w:t>IDH2</w:t>
            </w:r>
          </w:p>
        </w:tc>
        <w:tc>
          <w:tcPr>
            <w:tcW w:w="1761" w:type="dxa"/>
          </w:tcPr>
          <w:p w14:paraId="32110997" w14:textId="77777777" w:rsidR="00762925" w:rsidRPr="00BB706D" w:rsidRDefault="00762925" w:rsidP="001315CE">
            <w:pPr>
              <w:pStyle w:val="Tabletext0"/>
              <w:rPr>
                <w:rFonts w:cs="Arial"/>
                <w:b/>
                <w:bCs/>
                <w:i/>
                <w:iCs/>
                <w:color w:val="000000"/>
                <w:highlight w:val="green"/>
              </w:rPr>
            </w:pPr>
            <w:r w:rsidRPr="00BB706D">
              <w:rPr>
                <w:rFonts w:cs="Arial"/>
                <w:b/>
                <w:bCs/>
                <w:i/>
                <w:iCs/>
                <w:color w:val="000000"/>
                <w:highlight w:val="green"/>
              </w:rPr>
              <w:t>CDKN2B</w:t>
            </w:r>
            <w:r>
              <w:rPr>
                <w:rFonts w:cs="Arial"/>
                <w:b/>
                <w:bCs/>
                <w:i/>
                <w:iCs/>
                <w:color w:val="000000"/>
                <w:highlight w:val="green"/>
              </w:rPr>
              <w:t>*</w:t>
            </w:r>
          </w:p>
        </w:tc>
        <w:tc>
          <w:tcPr>
            <w:tcW w:w="1499" w:type="dxa"/>
            <w:vAlign w:val="bottom"/>
          </w:tcPr>
          <w:p w14:paraId="52A9B654" w14:textId="77777777" w:rsidR="00762925" w:rsidRPr="009D497B" w:rsidRDefault="00762925" w:rsidP="001315CE">
            <w:pPr>
              <w:pStyle w:val="Tabletext0"/>
              <w:rPr>
                <w:rFonts w:cs="Arial"/>
                <w:b/>
                <w:bCs/>
                <w:i/>
                <w:iCs/>
                <w:color w:val="000000"/>
                <w:highlight w:val="green"/>
              </w:rPr>
            </w:pPr>
            <w:r w:rsidRPr="009D497B">
              <w:rPr>
                <w:rFonts w:cs="Arial"/>
                <w:b/>
                <w:bCs/>
                <w:i/>
                <w:iCs/>
                <w:color w:val="000000"/>
                <w:highlight w:val="green"/>
              </w:rPr>
              <w:t>ALK</w:t>
            </w:r>
          </w:p>
        </w:tc>
        <w:tc>
          <w:tcPr>
            <w:tcW w:w="2693" w:type="dxa"/>
          </w:tcPr>
          <w:p w14:paraId="53C49180" w14:textId="77777777" w:rsidR="00762925" w:rsidRPr="00CA5F2A" w:rsidRDefault="00762925" w:rsidP="001315CE">
            <w:pPr>
              <w:pStyle w:val="Tabletext0"/>
              <w:rPr>
                <w:rFonts w:cs="Arial"/>
                <w:b/>
                <w:bCs/>
                <w:i/>
                <w:color w:val="000000"/>
              </w:rPr>
            </w:pPr>
            <w:r w:rsidRPr="009D497B">
              <w:rPr>
                <w:rFonts w:cs="Arial"/>
                <w:b/>
                <w:bCs/>
                <w:i/>
                <w:iCs/>
                <w:color w:val="000000"/>
                <w:highlight w:val="green"/>
              </w:rPr>
              <w:t>BRAF-KIAA154</w:t>
            </w:r>
            <w:r w:rsidRPr="001E6D1E">
              <w:rPr>
                <w:rFonts w:cs="Arial"/>
                <w:b/>
                <w:bCs/>
                <w:i/>
                <w:iCs/>
                <w:color w:val="000000"/>
                <w:highlight w:val="green"/>
              </w:rPr>
              <w:t>9</w:t>
            </w:r>
            <w:r w:rsidRPr="001E6D1E">
              <w:rPr>
                <w:rFonts w:cs="Arial"/>
                <w:b/>
                <w:bCs/>
                <w:color w:val="000000"/>
                <w:highlight w:val="green"/>
              </w:rPr>
              <w:t xml:space="preserve"> </w:t>
            </w:r>
            <w:r w:rsidRPr="00C73416">
              <w:rPr>
                <w:rFonts w:cs="Arial"/>
                <w:b/>
                <w:bCs/>
                <w:color w:val="000000"/>
                <w:highlight w:val="green"/>
              </w:rPr>
              <w:t>fusion</w:t>
            </w:r>
          </w:p>
        </w:tc>
      </w:tr>
      <w:tr w:rsidR="00762925" w:rsidRPr="003D5014" w14:paraId="385D659F" w14:textId="77777777" w:rsidTr="001315CE">
        <w:trPr>
          <w:trHeight w:val="295"/>
        </w:trPr>
        <w:tc>
          <w:tcPr>
            <w:tcW w:w="2802" w:type="dxa"/>
            <w:noWrap/>
            <w:hideMark/>
          </w:tcPr>
          <w:p w14:paraId="4CB3E0BB" w14:textId="77777777" w:rsidR="00762925" w:rsidRPr="00582929" w:rsidRDefault="00762925" w:rsidP="001315CE">
            <w:pPr>
              <w:pStyle w:val="Tabletext0"/>
              <w:rPr>
                <w:rFonts w:cs="Arial"/>
                <w:i/>
                <w:iCs/>
                <w:color w:val="000000"/>
                <w:highlight w:val="green"/>
              </w:rPr>
            </w:pPr>
            <w:r w:rsidRPr="00582929">
              <w:rPr>
                <w:rFonts w:cs="Arial"/>
                <w:i/>
                <w:iCs/>
                <w:color w:val="000000"/>
                <w:highlight w:val="green"/>
              </w:rPr>
              <w:t>TERT</w:t>
            </w:r>
          </w:p>
        </w:tc>
        <w:tc>
          <w:tcPr>
            <w:tcW w:w="1761" w:type="dxa"/>
          </w:tcPr>
          <w:p w14:paraId="2BC143E5" w14:textId="77777777" w:rsidR="00762925" w:rsidRPr="00BB706D" w:rsidRDefault="00762925" w:rsidP="001315CE">
            <w:pPr>
              <w:pStyle w:val="Tabletext0"/>
              <w:rPr>
                <w:rFonts w:cs="Arial"/>
                <w:b/>
                <w:bCs/>
                <w:i/>
                <w:iCs/>
                <w:color w:val="000000"/>
                <w:highlight w:val="green"/>
              </w:rPr>
            </w:pPr>
            <w:r w:rsidRPr="00BB706D">
              <w:rPr>
                <w:rFonts w:cs="Arial"/>
                <w:b/>
                <w:bCs/>
                <w:i/>
                <w:iCs/>
                <w:color w:val="000000"/>
                <w:highlight w:val="green"/>
              </w:rPr>
              <w:t>HIST1H3B</w:t>
            </w:r>
          </w:p>
        </w:tc>
        <w:tc>
          <w:tcPr>
            <w:tcW w:w="1499" w:type="dxa"/>
            <w:vAlign w:val="bottom"/>
          </w:tcPr>
          <w:p w14:paraId="3056797D" w14:textId="77777777" w:rsidR="00762925" w:rsidRPr="003D5014" w:rsidRDefault="00762925" w:rsidP="001315CE">
            <w:pPr>
              <w:pStyle w:val="Tabletext0"/>
              <w:rPr>
                <w:rFonts w:cs="Arial"/>
                <w:b/>
                <w:bCs/>
                <w:i/>
                <w:iCs/>
                <w:color w:val="000000"/>
              </w:rPr>
            </w:pPr>
            <w:r w:rsidRPr="003D5014">
              <w:rPr>
                <w:rFonts w:cs="Arial"/>
                <w:b/>
                <w:bCs/>
                <w:i/>
                <w:iCs/>
                <w:color w:val="000000"/>
              </w:rPr>
              <w:t>BCOR</w:t>
            </w:r>
          </w:p>
        </w:tc>
        <w:tc>
          <w:tcPr>
            <w:tcW w:w="2693" w:type="dxa"/>
          </w:tcPr>
          <w:p w14:paraId="007F8D53" w14:textId="77777777" w:rsidR="00762925" w:rsidRPr="00955FD6" w:rsidRDefault="00762925" w:rsidP="001315CE">
            <w:pPr>
              <w:pStyle w:val="Tabletext0"/>
              <w:rPr>
                <w:rFonts w:cs="Arial"/>
                <w:i/>
                <w:color w:val="000000"/>
              </w:rPr>
            </w:pPr>
            <w:r w:rsidRPr="00CA5F2A">
              <w:rPr>
                <w:rFonts w:cstheme="minorHAnsi"/>
                <w:i/>
                <w:iCs/>
                <w:color w:val="000000" w:themeColor="text1"/>
                <w:highlight w:val="green"/>
              </w:rPr>
              <w:t>H3F3B</w:t>
            </w:r>
          </w:p>
        </w:tc>
      </w:tr>
      <w:tr w:rsidR="00762925" w:rsidRPr="003D5014" w14:paraId="3759F181" w14:textId="77777777" w:rsidTr="001315CE">
        <w:trPr>
          <w:trHeight w:val="295"/>
        </w:trPr>
        <w:tc>
          <w:tcPr>
            <w:tcW w:w="2802" w:type="dxa"/>
            <w:noWrap/>
            <w:hideMark/>
          </w:tcPr>
          <w:p w14:paraId="72104EA4" w14:textId="77777777" w:rsidR="00762925" w:rsidRPr="00582929" w:rsidRDefault="00762925" w:rsidP="001315CE">
            <w:pPr>
              <w:pStyle w:val="Tabletext0"/>
              <w:rPr>
                <w:rFonts w:cs="Arial"/>
                <w:i/>
                <w:iCs/>
                <w:color w:val="000000"/>
                <w:highlight w:val="green"/>
              </w:rPr>
            </w:pPr>
            <w:r w:rsidRPr="00582929">
              <w:rPr>
                <w:rFonts w:cs="Arial"/>
                <w:i/>
                <w:iCs/>
                <w:color w:val="000000"/>
                <w:highlight w:val="green"/>
              </w:rPr>
              <w:t>BRAF</w:t>
            </w:r>
          </w:p>
        </w:tc>
        <w:tc>
          <w:tcPr>
            <w:tcW w:w="1761" w:type="dxa"/>
          </w:tcPr>
          <w:p w14:paraId="76A5D2A0" w14:textId="77777777" w:rsidR="00762925" w:rsidRPr="00BB706D" w:rsidRDefault="00762925" w:rsidP="001315CE">
            <w:pPr>
              <w:pStyle w:val="Tabletext0"/>
              <w:rPr>
                <w:rFonts w:cs="Arial"/>
                <w:b/>
                <w:bCs/>
                <w:i/>
                <w:iCs/>
                <w:color w:val="000000"/>
                <w:highlight w:val="green"/>
              </w:rPr>
            </w:pPr>
            <w:r w:rsidRPr="00BB706D">
              <w:rPr>
                <w:rFonts w:cs="Arial"/>
                <w:b/>
                <w:bCs/>
                <w:i/>
                <w:iCs/>
                <w:color w:val="000000"/>
                <w:highlight w:val="green"/>
              </w:rPr>
              <w:t>HIST1H3C</w:t>
            </w:r>
          </w:p>
        </w:tc>
        <w:tc>
          <w:tcPr>
            <w:tcW w:w="1499" w:type="dxa"/>
            <w:vAlign w:val="bottom"/>
          </w:tcPr>
          <w:p w14:paraId="528E3770" w14:textId="77777777" w:rsidR="00762925" w:rsidRPr="003D5014" w:rsidRDefault="00762925" w:rsidP="001315CE">
            <w:pPr>
              <w:pStyle w:val="Tabletext0"/>
              <w:rPr>
                <w:rFonts w:cs="Arial"/>
                <w:b/>
                <w:bCs/>
                <w:i/>
                <w:iCs/>
                <w:color w:val="000000"/>
              </w:rPr>
            </w:pPr>
            <w:r w:rsidRPr="003D5014">
              <w:rPr>
                <w:rFonts w:cs="Arial"/>
                <w:b/>
                <w:bCs/>
                <w:i/>
                <w:iCs/>
                <w:color w:val="000000"/>
              </w:rPr>
              <w:t>CIC</w:t>
            </w:r>
          </w:p>
        </w:tc>
        <w:tc>
          <w:tcPr>
            <w:tcW w:w="2693" w:type="dxa"/>
          </w:tcPr>
          <w:p w14:paraId="34F1B282" w14:textId="77777777" w:rsidR="00762925" w:rsidRPr="00955FD6" w:rsidRDefault="00762925" w:rsidP="001315CE">
            <w:pPr>
              <w:pStyle w:val="Tabletext0"/>
              <w:rPr>
                <w:rFonts w:cs="Arial"/>
                <w:i/>
                <w:iCs/>
                <w:color w:val="000000"/>
              </w:rPr>
            </w:pPr>
            <w:r w:rsidRPr="00955FD6">
              <w:rPr>
                <w:rFonts w:cs="Arial"/>
                <w:i/>
                <w:color w:val="000000"/>
                <w:highlight w:val="green"/>
              </w:rPr>
              <w:t>TP53</w:t>
            </w:r>
          </w:p>
        </w:tc>
      </w:tr>
      <w:tr w:rsidR="00762925" w:rsidRPr="003D5014" w14:paraId="313E45D4" w14:textId="77777777" w:rsidTr="001315CE">
        <w:trPr>
          <w:trHeight w:val="295"/>
        </w:trPr>
        <w:tc>
          <w:tcPr>
            <w:tcW w:w="2802" w:type="dxa"/>
            <w:noWrap/>
            <w:hideMark/>
          </w:tcPr>
          <w:p w14:paraId="1092B842" w14:textId="77777777" w:rsidR="00762925" w:rsidRPr="00B31DFC" w:rsidRDefault="00762925" w:rsidP="001315CE">
            <w:pPr>
              <w:pStyle w:val="Tabletext0"/>
              <w:rPr>
                <w:rFonts w:cs="Arial"/>
                <w:color w:val="000000"/>
                <w:highlight w:val="green"/>
              </w:rPr>
            </w:pPr>
            <w:r w:rsidRPr="00582929">
              <w:rPr>
                <w:rFonts w:cs="Arial"/>
                <w:i/>
                <w:iCs/>
                <w:color w:val="000000"/>
                <w:highlight w:val="green"/>
              </w:rPr>
              <w:t>H3F3A</w:t>
            </w:r>
            <w:r>
              <w:rPr>
                <w:rFonts w:cs="Arial"/>
                <w:color w:val="000000"/>
                <w:highlight w:val="green"/>
              </w:rPr>
              <w:t xml:space="preserve"> K27, G34</w:t>
            </w:r>
          </w:p>
        </w:tc>
        <w:tc>
          <w:tcPr>
            <w:tcW w:w="1761" w:type="dxa"/>
          </w:tcPr>
          <w:p w14:paraId="67B38002" w14:textId="77777777" w:rsidR="00762925" w:rsidRPr="00E32E06" w:rsidRDefault="00762925" w:rsidP="001315CE">
            <w:pPr>
              <w:pStyle w:val="Tabletext0"/>
              <w:rPr>
                <w:rFonts w:cs="Arial"/>
                <w:color w:val="000000"/>
              </w:rPr>
            </w:pPr>
          </w:p>
        </w:tc>
        <w:tc>
          <w:tcPr>
            <w:tcW w:w="1499" w:type="dxa"/>
            <w:vAlign w:val="bottom"/>
          </w:tcPr>
          <w:p w14:paraId="6C42CA3B" w14:textId="77777777" w:rsidR="00762925" w:rsidRPr="003D5014" w:rsidRDefault="00762925" w:rsidP="001315CE">
            <w:pPr>
              <w:pStyle w:val="Tabletext0"/>
              <w:rPr>
                <w:rFonts w:cs="Arial"/>
                <w:b/>
                <w:bCs/>
                <w:i/>
                <w:iCs/>
                <w:color w:val="000000"/>
              </w:rPr>
            </w:pPr>
            <w:r w:rsidRPr="003D5014">
              <w:rPr>
                <w:rFonts w:cs="Arial"/>
                <w:b/>
                <w:bCs/>
                <w:i/>
                <w:iCs/>
                <w:color w:val="000000"/>
              </w:rPr>
              <w:t>FGFR1</w:t>
            </w:r>
            <w:r w:rsidRPr="004B0D5C">
              <w:rPr>
                <w:rFonts w:cs="Arial"/>
                <w:b/>
                <w:bCs/>
                <w:i/>
                <w:iCs/>
                <w:color w:val="000000"/>
                <w:vertAlign w:val="superscript"/>
              </w:rPr>
              <w:t>#</w:t>
            </w:r>
          </w:p>
        </w:tc>
        <w:tc>
          <w:tcPr>
            <w:tcW w:w="2693" w:type="dxa"/>
          </w:tcPr>
          <w:p w14:paraId="59551CCA" w14:textId="77777777" w:rsidR="00762925" w:rsidRPr="003D5014" w:rsidRDefault="00762925" w:rsidP="001315CE">
            <w:pPr>
              <w:pStyle w:val="Tabletext0"/>
              <w:rPr>
                <w:rFonts w:cs="Arial"/>
                <w:b/>
                <w:bCs/>
                <w:i/>
                <w:iCs/>
                <w:color w:val="000000"/>
              </w:rPr>
            </w:pPr>
            <w:r w:rsidRPr="00955FD6">
              <w:rPr>
                <w:rFonts w:cs="Arial"/>
                <w:i/>
                <w:color w:val="000000"/>
                <w:highlight w:val="green"/>
              </w:rPr>
              <w:t>VHL</w:t>
            </w:r>
          </w:p>
        </w:tc>
      </w:tr>
      <w:tr w:rsidR="00762925" w:rsidRPr="003D5014" w14:paraId="7040A382" w14:textId="77777777" w:rsidTr="001315CE">
        <w:trPr>
          <w:trHeight w:val="295"/>
        </w:trPr>
        <w:tc>
          <w:tcPr>
            <w:tcW w:w="2802" w:type="dxa"/>
            <w:noWrap/>
            <w:hideMark/>
          </w:tcPr>
          <w:p w14:paraId="3D09A4B1" w14:textId="77777777" w:rsidR="00762925" w:rsidRPr="00582929" w:rsidRDefault="00762925" w:rsidP="001315CE">
            <w:pPr>
              <w:pStyle w:val="Tabletext0"/>
              <w:rPr>
                <w:rFonts w:cs="Arial"/>
                <w:i/>
                <w:iCs/>
                <w:color w:val="000000"/>
                <w:highlight w:val="green"/>
              </w:rPr>
            </w:pPr>
            <w:r w:rsidRPr="00582929">
              <w:rPr>
                <w:rFonts w:cs="Arial"/>
                <w:i/>
                <w:iCs/>
                <w:color w:val="000000"/>
                <w:highlight w:val="green"/>
              </w:rPr>
              <w:t>EGFR</w:t>
            </w:r>
          </w:p>
        </w:tc>
        <w:tc>
          <w:tcPr>
            <w:tcW w:w="1761" w:type="dxa"/>
          </w:tcPr>
          <w:p w14:paraId="35FFE980" w14:textId="77777777" w:rsidR="00762925" w:rsidRPr="00E32E06" w:rsidRDefault="00762925" w:rsidP="001315CE">
            <w:pPr>
              <w:pStyle w:val="Tabletext0"/>
              <w:rPr>
                <w:rFonts w:cs="Arial"/>
                <w:color w:val="000000"/>
              </w:rPr>
            </w:pPr>
          </w:p>
        </w:tc>
        <w:tc>
          <w:tcPr>
            <w:tcW w:w="1499" w:type="dxa"/>
            <w:vAlign w:val="bottom"/>
          </w:tcPr>
          <w:p w14:paraId="35ADAD1D" w14:textId="77777777" w:rsidR="00762925" w:rsidRPr="003D5014" w:rsidRDefault="00762925" w:rsidP="001315CE">
            <w:pPr>
              <w:pStyle w:val="Tabletext0"/>
              <w:rPr>
                <w:rFonts w:cs="Arial"/>
                <w:b/>
                <w:bCs/>
                <w:i/>
                <w:iCs/>
                <w:color w:val="000000"/>
              </w:rPr>
            </w:pPr>
            <w:r w:rsidRPr="003D5014">
              <w:rPr>
                <w:rFonts w:cs="Arial"/>
                <w:b/>
                <w:bCs/>
                <w:i/>
                <w:iCs/>
                <w:color w:val="000000"/>
              </w:rPr>
              <w:t>FGFR3</w:t>
            </w:r>
          </w:p>
        </w:tc>
        <w:tc>
          <w:tcPr>
            <w:tcW w:w="2693" w:type="dxa"/>
          </w:tcPr>
          <w:p w14:paraId="62D714AA" w14:textId="77777777" w:rsidR="00762925" w:rsidRPr="003D5014" w:rsidRDefault="00762925" w:rsidP="001315CE">
            <w:pPr>
              <w:pStyle w:val="Tabletext0"/>
              <w:rPr>
                <w:rFonts w:cs="Arial"/>
                <w:b/>
                <w:bCs/>
                <w:i/>
                <w:iCs/>
                <w:color w:val="000000"/>
              </w:rPr>
            </w:pPr>
          </w:p>
        </w:tc>
      </w:tr>
      <w:tr w:rsidR="00762925" w:rsidRPr="003D5014" w14:paraId="0490F1DF" w14:textId="77777777" w:rsidTr="001315CE">
        <w:trPr>
          <w:trHeight w:val="295"/>
        </w:trPr>
        <w:tc>
          <w:tcPr>
            <w:tcW w:w="2802" w:type="dxa"/>
            <w:noWrap/>
            <w:hideMark/>
          </w:tcPr>
          <w:p w14:paraId="7ACDA5B0" w14:textId="77777777" w:rsidR="00762925" w:rsidRPr="00582929" w:rsidRDefault="00762925" w:rsidP="001315CE">
            <w:pPr>
              <w:pStyle w:val="Tabletext0"/>
              <w:rPr>
                <w:rFonts w:cs="Arial"/>
                <w:i/>
                <w:iCs/>
                <w:highlight w:val="green"/>
                <w:vertAlign w:val="subscript"/>
              </w:rPr>
            </w:pPr>
            <w:r w:rsidRPr="00582929">
              <w:rPr>
                <w:rFonts w:cs="Arial"/>
                <w:i/>
                <w:iCs/>
                <w:highlight w:val="green"/>
              </w:rPr>
              <w:t>MGMT</w:t>
            </w:r>
            <w:r>
              <w:rPr>
                <w:rFonts w:cs="Arial"/>
                <w:highlight w:val="green"/>
              </w:rPr>
              <w:t xml:space="preserve"> methylation</w:t>
            </w:r>
            <w:r w:rsidRPr="00B31DFC">
              <w:rPr>
                <w:rFonts w:cs="Arial"/>
                <w:highlight w:val="green"/>
              </w:rPr>
              <w:t xml:space="preserve"> </w:t>
            </w:r>
            <w:r>
              <w:rPr>
                <w:rFonts w:cs="Arial"/>
                <w:highlight w:val="green"/>
              </w:rPr>
              <w:t>(</w:t>
            </w:r>
            <w:r w:rsidRPr="00B31DFC">
              <w:rPr>
                <w:rFonts w:cs="Arial"/>
                <w:highlight w:val="green"/>
              </w:rPr>
              <w:t>Item 73373)</w:t>
            </w:r>
            <w:r w:rsidRPr="00582929">
              <w:rPr>
                <w:rFonts w:cs="Arial"/>
                <w:i/>
                <w:iCs/>
                <w:highlight w:val="green"/>
                <w:vertAlign w:val="superscript"/>
              </w:rPr>
              <w:t xml:space="preserve"> </w:t>
            </w:r>
          </w:p>
        </w:tc>
        <w:tc>
          <w:tcPr>
            <w:tcW w:w="1761" w:type="dxa"/>
          </w:tcPr>
          <w:p w14:paraId="3E5A4DB2" w14:textId="77777777" w:rsidR="00762925" w:rsidRPr="00E32E06" w:rsidRDefault="00762925" w:rsidP="001315CE">
            <w:pPr>
              <w:pStyle w:val="Tabletext0"/>
              <w:rPr>
                <w:rFonts w:cs="Arial"/>
                <w:color w:val="000000"/>
              </w:rPr>
            </w:pPr>
          </w:p>
        </w:tc>
        <w:tc>
          <w:tcPr>
            <w:tcW w:w="1499" w:type="dxa"/>
            <w:vAlign w:val="bottom"/>
          </w:tcPr>
          <w:p w14:paraId="296369C7" w14:textId="77777777" w:rsidR="00762925" w:rsidRPr="003D5014" w:rsidRDefault="00762925" w:rsidP="001315CE">
            <w:pPr>
              <w:pStyle w:val="Tabletext0"/>
              <w:rPr>
                <w:rFonts w:cs="Arial"/>
                <w:b/>
                <w:bCs/>
                <w:i/>
                <w:iCs/>
                <w:color w:val="000000"/>
              </w:rPr>
            </w:pPr>
            <w:r w:rsidRPr="003D5014">
              <w:rPr>
                <w:rFonts w:cs="Arial"/>
                <w:b/>
                <w:bCs/>
                <w:i/>
                <w:iCs/>
                <w:color w:val="000000"/>
              </w:rPr>
              <w:t>FOXR2</w:t>
            </w:r>
          </w:p>
        </w:tc>
        <w:tc>
          <w:tcPr>
            <w:tcW w:w="2693" w:type="dxa"/>
          </w:tcPr>
          <w:p w14:paraId="65DDAF0A" w14:textId="77777777" w:rsidR="00762925" w:rsidRPr="003D5014" w:rsidRDefault="00762925" w:rsidP="001315CE">
            <w:pPr>
              <w:pStyle w:val="Tabletext0"/>
              <w:rPr>
                <w:rFonts w:cs="Arial"/>
                <w:b/>
                <w:bCs/>
                <w:i/>
                <w:iCs/>
                <w:color w:val="000000"/>
              </w:rPr>
            </w:pPr>
          </w:p>
        </w:tc>
      </w:tr>
      <w:tr w:rsidR="00762925" w:rsidRPr="003D5014" w14:paraId="55308E49" w14:textId="77777777" w:rsidTr="001315CE">
        <w:trPr>
          <w:trHeight w:val="295"/>
        </w:trPr>
        <w:tc>
          <w:tcPr>
            <w:tcW w:w="2802" w:type="dxa"/>
            <w:noWrap/>
            <w:hideMark/>
          </w:tcPr>
          <w:p w14:paraId="479BA651" w14:textId="77777777" w:rsidR="00762925" w:rsidRPr="00582929" w:rsidRDefault="00762925" w:rsidP="001315CE">
            <w:pPr>
              <w:pStyle w:val="Tabletext0"/>
              <w:rPr>
                <w:rFonts w:cs="Arial"/>
                <w:color w:val="000000"/>
                <w:highlight w:val="green"/>
              </w:rPr>
            </w:pPr>
            <w:r w:rsidRPr="00582929">
              <w:rPr>
                <w:rFonts w:cs="Arial"/>
                <w:color w:val="000000"/>
                <w:highlight w:val="green"/>
              </w:rPr>
              <w:t>1p</w:t>
            </w:r>
          </w:p>
        </w:tc>
        <w:tc>
          <w:tcPr>
            <w:tcW w:w="1761" w:type="dxa"/>
          </w:tcPr>
          <w:p w14:paraId="39485502" w14:textId="77777777" w:rsidR="00762925" w:rsidRPr="00E32E06" w:rsidRDefault="00762925" w:rsidP="001315CE">
            <w:pPr>
              <w:pStyle w:val="Tabletext0"/>
              <w:rPr>
                <w:rFonts w:cs="Arial"/>
                <w:color w:val="000000"/>
              </w:rPr>
            </w:pPr>
          </w:p>
        </w:tc>
        <w:tc>
          <w:tcPr>
            <w:tcW w:w="1499" w:type="dxa"/>
            <w:vAlign w:val="bottom"/>
          </w:tcPr>
          <w:p w14:paraId="26F1F091" w14:textId="77777777" w:rsidR="00762925" w:rsidRPr="003D5014" w:rsidRDefault="00762925" w:rsidP="001315CE">
            <w:pPr>
              <w:pStyle w:val="Tabletext0"/>
              <w:rPr>
                <w:rFonts w:cs="Arial"/>
                <w:i/>
                <w:iCs/>
                <w:color w:val="000000"/>
              </w:rPr>
            </w:pPr>
            <w:r w:rsidRPr="003D5014">
              <w:rPr>
                <w:rFonts w:cs="Arial"/>
                <w:i/>
                <w:iCs/>
                <w:color w:val="000000"/>
              </w:rPr>
              <w:t>FUBP1</w:t>
            </w:r>
          </w:p>
        </w:tc>
        <w:tc>
          <w:tcPr>
            <w:tcW w:w="2693" w:type="dxa"/>
          </w:tcPr>
          <w:p w14:paraId="2AA69F0D" w14:textId="77777777" w:rsidR="00762925" w:rsidRPr="003D5014" w:rsidRDefault="00762925" w:rsidP="001315CE">
            <w:pPr>
              <w:pStyle w:val="Tabletext0"/>
              <w:rPr>
                <w:rFonts w:cs="Arial"/>
                <w:i/>
                <w:iCs/>
                <w:color w:val="000000"/>
              </w:rPr>
            </w:pPr>
          </w:p>
        </w:tc>
      </w:tr>
      <w:tr w:rsidR="00762925" w:rsidRPr="003D5014" w14:paraId="39D42BE9" w14:textId="77777777" w:rsidTr="001315CE">
        <w:trPr>
          <w:trHeight w:val="295"/>
        </w:trPr>
        <w:tc>
          <w:tcPr>
            <w:tcW w:w="2802" w:type="dxa"/>
            <w:noWrap/>
          </w:tcPr>
          <w:p w14:paraId="42CF7B2F" w14:textId="77777777" w:rsidR="00762925" w:rsidRPr="00E32E06" w:rsidRDefault="00762925" w:rsidP="001315CE">
            <w:pPr>
              <w:pStyle w:val="Tabletext0"/>
              <w:rPr>
                <w:rFonts w:cs="Arial"/>
                <w:color w:val="000000"/>
              </w:rPr>
            </w:pPr>
            <w:r w:rsidRPr="00582929">
              <w:rPr>
                <w:rFonts w:cs="Arial"/>
                <w:color w:val="000000"/>
                <w:highlight w:val="green"/>
              </w:rPr>
              <w:t>19q</w:t>
            </w:r>
          </w:p>
        </w:tc>
        <w:tc>
          <w:tcPr>
            <w:tcW w:w="1761" w:type="dxa"/>
          </w:tcPr>
          <w:p w14:paraId="2CB58CCC" w14:textId="77777777" w:rsidR="00762925" w:rsidRPr="00E32E06" w:rsidRDefault="00762925" w:rsidP="001315CE">
            <w:pPr>
              <w:pStyle w:val="Tabletext0"/>
              <w:rPr>
                <w:rFonts w:cs="Arial"/>
                <w:color w:val="000000"/>
              </w:rPr>
            </w:pPr>
          </w:p>
        </w:tc>
        <w:tc>
          <w:tcPr>
            <w:tcW w:w="1499" w:type="dxa"/>
            <w:vAlign w:val="bottom"/>
          </w:tcPr>
          <w:p w14:paraId="4BE735F7" w14:textId="77777777" w:rsidR="00762925" w:rsidRPr="003D5014" w:rsidRDefault="00762925" w:rsidP="001315CE">
            <w:pPr>
              <w:pStyle w:val="Tabletext0"/>
              <w:rPr>
                <w:rFonts w:cs="Arial"/>
                <w:i/>
                <w:iCs/>
                <w:color w:val="000000"/>
              </w:rPr>
            </w:pPr>
            <w:r w:rsidRPr="00800579">
              <w:rPr>
                <w:rFonts w:cs="Arial"/>
                <w:i/>
                <w:iCs/>
                <w:color w:val="000000"/>
                <w:highlight w:val="green"/>
              </w:rPr>
              <w:t>HIST2H3C</w:t>
            </w:r>
            <w:r w:rsidRPr="00800579">
              <w:rPr>
                <w:rFonts w:cs="Arial"/>
                <w:i/>
                <w:iCs/>
                <w:color w:val="000000"/>
                <w:highlight w:val="green"/>
                <w:vertAlign w:val="superscript"/>
              </w:rPr>
              <w:t xml:space="preserve"> +</w:t>
            </w:r>
          </w:p>
        </w:tc>
        <w:tc>
          <w:tcPr>
            <w:tcW w:w="2693" w:type="dxa"/>
          </w:tcPr>
          <w:p w14:paraId="000E25FE" w14:textId="77777777" w:rsidR="00762925" w:rsidRPr="00800579" w:rsidRDefault="00762925" w:rsidP="001315CE">
            <w:pPr>
              <w:pStyle w:val="Tabletext0"/>
              <w:rPr>
                <w:rFonts w:cs="Arial"/>
                <w:i/>
                <w:iCs/>
                <w:color w:val="000000"/>
                <w:highlight w:val="green"/>
              </w:rPr>
            </w:pPr>
          </w:p>
        </w:tc>
      </w:tr>
      <w:tr w:rsidR="00762925" w:rsidRPr="003D5014" w14:paraId="512BF8B3" w14:textId="77777777" w:rsidTr="001315CE">
        <w:trPr>
          <w:trHeight w:val="295"/>
        </w:trPr>
        <w:tc>
          <w:tcPr>
            <w:tcW w:w="2802" w:type="dxa"/>
            <w:noWrap/>
          </w:tcPr>
          <w:p w14:paraId="1BA54AB0" w14:textId="77777777" w:rsidR="00762925" w:rsidRPr="00E32E06" w:rsidRDefault="00762925" w:rsidP="001315CE">
            <w:pPr>
              <w:pStyle w:val="Tabletext0"/>
              <w:rPr>
                <w:rFonts w:cs="Arial"/>
                <w:color w:val="000000"/>
              </w:rPr>
            </w:pPr>
          </w:p>
        </w:tc>
        <w:tc>
          <w:tcPr>
            <w:tcW w:w="1761" w:type="dxa"/>
          </w:tcPr>
          <w:p w14:paraId="2F2EF62A" w14:textId="77777777" w:rsidR="00762925" w:rsidRPr="00E32E06" w:rsidRDefault="00762925" w:rsidP="001315CE">
            <w:pPr>
              <w:pStyle w:val="Tabletext0"/>
              <w:rPr>
                <w:rFonts w:cs="Arial"/>
                <w:color w:val="000000"/>
              </w:rPr>
            </w:pPr>
          </w:p>
        </w:tc>
        <w:tc>
          <w:tcPr>
            <w:tcW w:w="1499" w:type="dxa"/>
            <w:vAlign w:val="bottom"/>
          </w:tcPr>
          <w:p w14:paraId="37A673E3" w14:textId="77777777" w:rsidR="00762925" w:rsidRPr="003D5014" w:rsidRDefault="00762925" w:rsidP="001315CE">
            <w:pPr>
              <w:pStyle w:val="Tabletext0"/>
              <w:rPr>
                <w:rFonts w:cs="Arial"/>
                <w:b/>
                <w:bCs/>
                <w:i/>
                <w:iCs/>
                <w:color w:val="000000"/>
              </w:rPr>
            </w:pPr>
            <w:r w:rsidRPr="003D5014">
              <w:rPr>
                <w:rFonts w:cs="Arial"/>
                <w:b/>
                <w:bCs/>
                <w:i/>
                <w:iCs/>
                <w:color w:val="000000"/>
              </w:rPr>
              <w:t>MN1</w:t>
            </w:r>
          </w:p>
        </w:tc>
        <w:tc>
          <w:tcPr>
            <w:tcW w:w="2693" w:type="dxa"/>
          </w:tcPr>
          <w:p w14:paraId="07B8A203" w14:textId="77777777" w:rsidR="00762925" w:rsidRPr="003D5014" w:rsidRDefault="00762925" w:rsidP="001315CE">
            <w:pPr>
              <w:pStyle w:val="Tabletext0"/>
              <w:rPr>
                <w:rFonts w:cs="Arial"/>
                <w:b/>
                <w:bCs/>
                <w:i/>
                <w:iCs/>
                <w:color w:val="000000"/>
              </w:rPr>
            </w:pPr>
          </w:p>
        </w:tc>
      </w:tr>
      <w:tr w:rsidR="00762925" w:rsidRPr="003D5014" w14:paraId="551F8611" w14:textId="77777777" w:rsidTr="001315CE">
        <w:trPr>
          <w:trHeight w:val="295"/>
        </w:trPr>
        <w:tc>
          <w:tcPr>
            <w:tcW w:w="2802" w:type="dxa"/>
            <w:noWrap/>
          </w:tcPr>
          <w:p w14:paraId="1EF0B9EE" w14:textId="77777777" w:rsidR="00762925" w:rsidRPr="00E32E06" w:rsidRDefault="00762925" w:rsidP="001315CE">
            <w:pPr>
              <w:pStyle w:val="Tabletext0"/>
              <w:rPr>
                <w:rFonts w:cs="Arial"/>
                <w:color w:val="000000"/>
              </w:rPr>
            </w:pPr>
          </w:p>
        </w:tc>
        <w:tc>
          <w:tcPr>
            <w:tcW w:w="1761" w:type="dxa"/>
          </w:tcPr>
          <w:p w14:paraId="14199D34" w14:textId="77777777" w:rsidR="00762925" w:rsidRPr="00E32E06" w:rsidRDefault="00762925" w:rsidP="001315CE">
            <w:pPr>
              <w:pStyle w:val="Tabletext0"/>
              <w:rPr>
                <w:rFonts w:cs="Arial"/>
                <w:color w:val="000000"/>
              </w:rPr>
            </w:pPr>
          </w:p>
        </w:tc>
        <w:tc>
          <w:tcPr>
            <w:tcW w:w="1499" w:type="dxa"/>
            <w:vAlign w:val="bottom"/>
          </w:tcPr>
          <w:p w14:paraId="35B0A125" w14:textId="77777777" w:rsidR="00762925" w:rsidRPr="003D5014" w:rsidRDefault="00762925" w:rsidP="001315CE">
            <w:pPr>
              <w:pStyle w:val="Tabletext0"/>
              <w:rPr>
                <w:rFonts w:cs="Arial"/>
                <w:b/>
                <w:bCs/>
                <w:i/>
                <w:iCs/>
                <w:color w:val="000000"/>
              </w:rPr>
            </w:pPr>
            <w:r w:rsidRPr="003D5014">
              <w:rPr>
                <w:rFonts w:cs="Arial"/>
                <w:b/>
                <w:bCs/>
                <w:i/>
                <w:iCs/>
                <w:color w:val="000000"/>
              </w:rPr>
              <w:t>MYB</w:t>
            </w:r>
          </w:p>
        </w:tc>
        <w:tc>
          <w:tcPr>
            <w:tcW w:w="2693" w:type="dxa"/>
          </w:tcPr>
          <w:p w14:paraId="5422C655" w14:textId="77777777" w:rsidR="00762925" w:rsidRPr="003D5014" w:rsidRDefault="00762925" w:rsidP="001315CE">
            <w:pPr>
              <w:pStyle w:val="Tabletext0"/>
              <w:rPr>
                <w:rFonts w:cs="Arial"/>
                <w:b/>
                <w:bCs/>
                <w:i/>
                <w:iCs/>
                <w:color w:val="000000"/>
              </w:rPr>
            </w:pPr>
          </w:p>
        </w:tc>
      </w:tr>
      <w:tr w:rsidR="00762925" w:rsidRPr="003D5014" w14:paraId="5541A7AA" w14:textId="77777777" w:rsidTr="001315CE">
        <w:trPr>
          <w:trHeight w:val="295"/>
        </w:trPr>
        <w:tc>
          <w:tcPr>
            <w:tcW w:w="2802" w:type="dxa"/>
            <w:noWrap/>
          </w:tcPr>
          <w:p w14:paraId="35671630" w14:textId="77777777" w:rsidR="00762925" w:rsidRPr="00E32E06" w:rsidRDefault="00762925" w:rsidP="001315CE">
            <w:pPr>
              <w:pStyle w:val="Tabletext0"/>
              <w:rPr>
                <w:rFonts w:cs="Arial"/>
                <w:color w:val="000000"/>
              </w:rPr>
            </w:pPr>
          </w:p>
        </w:tc>
        <w:tc>
          <w:tcPr>
            <w:tcW w:w="1761" w:type="dxa"/>
          </w:tcPr>
          <w:p w14:paraId="4ECB0B60" w14:textId="77777777" w:rsidR="00762925" w:rsidRPr="00E32E06" w:rsidRDefault="00762925" w:rsidP="001315CE">
            <w:pPr>
              <w:pStyle w:val="Tabletext0"/>
              <w:rPr>
                <w:rFonts w:cs="Arial"/>
                <w:color w:val="000000"/>
              </w:rPr>
            </w:pPr>
          </w:p>
        </w:tc>
        <w:tc>
          <w:tcPr>
            <w:tcW w:w="1499" w:type="dxa"/>
            <w:vAlign w:val="bottom"/>
          </w:tcPr>
          <w:p w14:paraId="5E8036D8" w14:textId="77777777" w:rsidR="00762925" w:rsidRPr="003D5014" w:rsidRDefault="00762925" w:rsidP="001315CE">
            <w:pPr>
              <w:pStyle w:val="Tabletext0"/>
              <w:rPr>
                <w:rFonts w:cs="Arial"/>
                <w:b/>
                <w:bCs/>
                <w:i/>
                <w:iCs/>
                <w:color w:val="000000"/>
              </w:rPr>
            </w:pPr>
            <w:r w:rsidRPr="003D5014">
              <w:rPr>
                <w:rFonts w:cs="Arial"/>
                <w:b/>
                <w:bCs/>
                <w:i/>
                <w:iCs/>
                <w:color w:val="000000"/>
              </w:rPr>
              <w:t>MYBL1</w:t>
            </w:r>
          </w:p>
        </w:tc>
        <w:tc>
          <w:tcPr>
            <w:tcW w:w="2693" w:type="dxa"/>
          </w:tcPr>
          <w:p w14:paraId="77C4D58E" w14:textId="77777777" w:rsidR="00762925" w:rsidRPr="003D5014" w:rsidRDefault="00762925" w:rsidP="001315CE">
            <w:pPr>
              <w:pStyle w:val="Tabletext0"/>
              <w:rPr>
                <w:rFonts w:cs="Arial"/>
                <w:b/>
                <w:bCs/>
                <w:i/>
                <w:iCs/>
                <w:color w:val="000000"/>
              </w:rPr>
            </w:pPr>
          </w:p>
        </w:tc>
      </w:tr>
      <w:tr w:rsidR="00762925" w:rsidRPr="003D5014" w14:paraId="4867A46A" w14:textId="77777777" w:rsidTr="001315CE">
        <w:trPr>
          <w:trHeight w:val="295"/>
        </w:trPr>
        <w:tc>
          <w:tcPr>
            <w:tcW w:w="2802" w:type="dxa"/>
            <w:noWrap/>
          </w:tcPr>
          <w:p w14:paraId="52CA00FE" w14:textId="77777777" w:rsidR="00762925" w:rsidRPr="00E32E06" w:rsidRDefault="00762925" w:rsidP="001315CE">
            <w:pPr>
              <w:pStyle w:val="Tabletext0"/>
              <w:rPr>
                <w:rFonts w:cs="Arial"/>
                <w:color w:val="000000"/>
              </w:rPr>
            </w:pPr>
          </w:p>
        </w:tc>
        <w:tc>
          <w:tcPr>
            <w:tcW w:w="1761" w:type="dxa"/>
          </w:tcPr>
          <w:p w14:paraId="2A95011E" w14:textId="77777777" w:rsidR="00762925" w:rsidRPr="00E32E06" w:rsidRDefault="00762925" w:rsidP="001315CE">
            <w:pPr>
              <w:pStyle w:val="Tabletext0"/>
              <w:rPr>
                <w:rFonts w:cs="Arial"/>
                <w:color w:val="000000"/>
              </w:rPr>
            </w:pPr>
          </w:p>
        </w:tc>
        <w:tc>
          <w:tcPr>
            <w:tcW w:w="1499" w:type="dxa"/>
            <w:vAlign w:val="bottom"/>
          </w:tcPr>
          <w:p w14:paraId="3158A481" w14:textId="77777777" w:rsidR="00762925" w:rsidRPr="003D5014" w:rsidRDefault="00762925" w:rsidP="001315CE">
            <w:pPr>
              <w:pStyle w:val="Tabletext0"/>
              <w:rPr>
                <w:rFonts w:cs="Arial"/>
                <w:i/>
                <w:iCs/>
                <w:color w:val="000000"/>
              </w:rPr>
            </w:pPr>
            <w:r w:rsidRPr="00652DA1">
              <w:rPr>
                <w:rFonts w:cs="Arial"/>
                <w:i/>
                <w:iCs/>
                <w:color w:val="000000"/>
                <w:highlight w:val="green"/>
              </w:rPr>
              <w:t>MYC</w:t>
            </w:r>
          </w:p>
        </w:tc>
        <w:tc>
          <w:tcPr>
            <w:tcW w:w="2693" w:type="dxa"/>
          </w:tcPr>
          <w:p w14:paraId="30ABC314" w14:textId="77777777" w:rsidR="00762925" w:rsidRPr="003D5014" w:rsidRDefault="00762925" w:rsidP="001315CE">
            <w:pPr>
              <w:pStyle w:val="Tabletext0"/>
              <w:rPr>
                <w:rFonts w:cs="Arial"/>
                <w:i/>
                <w:iCs/>
                <w:color w:val="000000"/>
              </w:rPr>
            </w:pPr>
          </w:p>
        </w:tc>
      </w:tr>
      <w:tr w:rsidR="00762925" w:rsidRPr="003D5014" w14:paraId="79B70C98" w14:textId="77777777" w:rsidTr="001315CE">
        <w:trPr>
          <w:trHeight w:val="295"/>
        </w:trPr>
        <w:tc>
          <w:tcPr>
            <w:tcW w:w="2802" w:type="dxa"/>
            <w:noWrap/>
          </w:tcPr>
          <w:p w14:paraId="4B1B61A8" w14:textId="77777777" w:rsidR="00762925" w:rsidRPr="00E32E06" w:rsidRDefault="00762925" w:rsidP="001315CE">
            <w:pPr>
              <w:pStyle w:val="Tabletext0"/>
              <w:rPr>
                <w:rFonts w:cs="Arial"/>
                <w:color w:val="000000"/>
              </w:rPr>
            </w:pPr>
          </w:p>
        </w:tc>
        <w:tc>
          <w:tcPr>
            <w:tcW w:w="1761" w:type="dxa"/>
          </w:tcPr>
          <w:p w14:paraId="747E3A20" w14:textId="77777777" w:rsidR="00762925" w:rsidRPr="00E32E06" w:rsidRDefault="00762925" w:rsidP="001315CE">
            <w:pPr>
              <w:pStyle w:val="Tabletext0"/>
              <w:rPr>
                <w:rFonts w:cs="Arial"/>
                <w:color w:val="000000"/>
              </w:rPr>
            </w:pPr>
          </w:p>
        </w:tc>
        <w:tc>
          <w:tcPr>
            <w:tcW w:w="1499" w:type="dxa"/>
            <w:vAlign w:val="bottom"/>
          </w:tcPr>
          <w:p w14:paraId="2988E47F" w14:textId="77777777" w:rsidR="00762925" w:rsidRPr="003D5014" w:rsidRDefault="00762925" w:rsidP="001315CE">
            <w:pPr>
              <w:pStyle w:val="Tabletext0"/>
              <w:rPr>
                <w:rFonts w:cs="Arial"/>
                <w:i/>
                <w:iCs/>
                <w:color w:val="000000"/>
              </w:rPr>
            </w:pPr>
            <w:r w:rsidRPr="003D5014">
              <w:rPr>
                <w:rFonts w:cs="Arial"/>
                <w:i/>
                <w:iCs/>
                <w:color w:val="000000"/>
              </w:rPr>
              <w:t>MYCN</w:t>
            </w:r>
          </w:p>
        </w:tc>
        <w:tc>
          <w:tcPr>
            <w:tcW w:w="2693" w:type="dxa"/>
          </w:tcPr>
          <w:p w14:paraId="03B2B42E" w14:textId="77777777" w:rsidR="00762925" w:rsidRPr="003D5014" w:rsidRDefault="00762925" w:rsidP="001315CE">
            <w:pPr>
              <w:pStyle w:val="Tabletext0"/>
              <w:rPr>
                <w:rFonts w:cs="Arial"/>
                <w:i/>
                <w:iCs/>
                <w:color w:val="000000"/>
              </w:rPr>
            </w:pPr>
          </w:p>
        </w:tc>
      </w:tr>
      <w:tr w:rsidR="00762925" w:rsidRPr="003D5014" w14:paraId="66A783EA" w14:textId="77777777" w:rsidTr="001315CE">
        <w:trPr>
          <w:trHeight w:val="295"/>
        </w:trPr>
        <w:tc>
          <w:tcPr>
            <w:tcW w:w="2802" w:type="dxa"/>
            <w:noWrap/>
          </w:tcPr>
          <w:p w14:paraId="7E6B12C9" w14:textId="77777777" w:rsidR="00762925" w:rsidRPr="00E32E06" w:rsidRDefault="00762925" w:rsidP="001315CE">
            <w:pPr>
              <w:pStyle w:val="Tabletext0"/>
              <w:rPr>
                <w:rFonts w:cs="Arial"/>
                <w:color w:val="000000"/>
              </w:rPr>
            </w:pPr>
          </w:p>
        </w:tc>
        <w:tc>
          <w:tcPr>
            <w:tcW w:w="1761" w:type="dxa"/>
          </w:tcPr>
          <w:p w14:paraId="6CBC94B0" w14:textId="77777777" w:rsidR="00762925" w:rsidRPr="00E32E06" w:rsidRDefault="00762925" w:rsidP="001315CE">
            <w:pPr>
              <w:pStyle w:val="Tabletext0"/>
              <w:rPr>
                <w:rFonts w:cs="Arial"/>
                <w:color w:val="000000"/>
              </w:rPr>
            </w:pPr>
          </w:p>
        </w:tc>
        <w:tc>
          <w:tcPr>
            <w:tcW w:w="1499" w:type="dxa"/>
            <w:vAlign w:val="bottom"/>
          </w:tcPr>
          <w:p w14:paraId="19A124E4" w14:textId="77777777" w:rsidR="00762925" w:rsidRPr="003D5014" w:rsidRDefault="00762925" w:rsidP="001315CE">
            <w:pPr>
              <w:pStyle w:val="Tabletext0"/>
              <w:rPr>
                <w:rFonts w:cs="Arial"/>
                <w:i/>
                <w:iCs/>
                <w:color w:val="000000"/>
              </w:rPr>
            </w:pPr>
            <w:r w:rsidRPr="006578A6">
              <w:rPr>
                <w:rFonts w:cs="Arial"/>
                <w:i/>
                <w:iCs/>
                <w:color w:val="000000"/>
                <w:highlight w:val="green"/>
              </w:rPr>
              <w:t>NF1</w:t>
            </w:r>
          </w:p>
        </w:tc>
        <w:tc>
          <w:tcPr>
            <w:tcW w:w="2693" w:type="dxa"/>
          </w:tcPr>
          <w:p w14:paraId="56110988" w14:textId="77777777" w:rsidR="00762925" w:rsidRPr="003D5014" w:rsidRDefault="00762925" w:rsidP="001315CE">
            <w:pPr>
              <w:pStyle w:val="Tabletext0"/>
              <w:rPr>
                <w:rFonts w:cs="Arial"/>
                <w:i/>
                <w:iCs/>
                <w:color w:val="000000"/>
              </w:rPr>
            </w:pPr>
          </w:p>
        </w:tc>
      </w:tr>
      <w:tr w:rsidR="00762925" w:rsidRPr="003D5014" w14:paraId="6E00C1BE" w14:textId="77777777" w:rsidTr="001315CE">
        <w:trPr>
          <w:trHeight w:val="295"/>
        </w:trPr>
        <w:tc>
          <w:tcPr>
            <w:tcW w:w="2802" w:type="dxa"/>
            <w:noWrap/>
          </w:tcPr>
          <w:p w14:paraId="437C9C39" w14:textId="77777777" w:rsidR="00762925" w:rsidRPr="00E32E06" w:rsidRDefault="00762925" w:rsidP="001315CE">
            <w:pPr>
              <w:pStyle w:val="Tabletext0"/>
              <w:rPr>
                <w:rFonts w:cs="Arial"/>
                <w:color w:val="000000"/>
              </w:rPr>
            </w:pPr>
          </w:p>
        </w:tc>
        <w:tc>
          <w:tcPr>
            <w:tcW w:w="1761" w:type="dxa"/>
          </w:tcPr>
          <w:p w14:paraId="1E8205FC" w14:textId="77777777" w:rsidR="00762925" w:rsidRPr="00E32E06" w:rsidRDefault="00762925" w:rsidP="001315CE">
            <w:pPr>
              <w:pStyle w:val="Tabletext0"/>
              <w:rPr>
                <w:rFonts w:cs="Arial"/>
                <w:color w:val="000000"/>
              </w:rPr>
            </w:pPr>
          </w:p>
        </w:tc>
        <w:tc>
          <w:tcPr>
            <w:tcW w:w="1499" w:type="dxa"/>
            <w:vAlign w:val="bottom"/>
          </w:tcPr>
          <w:p w14:paraId="7D2C4EC3" w14:textId="77777777" w:rsidR="00762925" w:rsidRPr="003D5014" w:rsidRDefault="00762925" w:rsidP="001315CE">
            <w:pPr>
              <w:pStyle w:val="Tabletext0"/>
              <w:rPr>
                <w:rFonts w:cs="Arial"/>
                <w:i/>
                <w:iCs/>
                <w:color w:val="000000"/>
              </w:rPr>
            </w:pPr>
            <w:r w:rsidRPr="003D5014">
              <w:rPr>
                <w:rFonts w:cs="Arial"/>
                <w:i/>
                <w:iCs/>
                <w:color w:val="000000"/>
              </w:rPr>
              <w:t>NF2</w:t>
            </w:r>
          </w:p>
        </w:tc>
        <w:tc>
          <w:tcPr>
            <w:tcW w:w="2693" w:type="dxa"/>
          </w:tcPr>
          <w:p w14:paraId="27D69437" w14:textId="77777777" w:rsidR="00762925" w:rsidRPr="003D5014" w:rsidRDefault="00762925" w:rsidP="001315CE">
            <w:pPr>
              <w:pStyle w:val="Tabletext0"/>
              <w:rPr>
                <w:rFonts w:cs="Arial"/>
                <w:i/>
                <w:iCs/>
                <w:color w:val="000000"/>
              </w:rPr>
            </w:pPr>
          </w:p>
        </w:tc>
      </w:tr>
      <w:tr w:rsidR="00762925" w:rsidRPr="003D5014" w14:paraId="2BE75B62" w14:textId="77777777" w:rsidTr="001315CE">
        <w:trPr>
          <w:trHeight w:val="295"/>
        </w:trPr>
        <w:tc>
          <w:tcPr>
            <w:tcW w:w="2802" w:type="dxa"/>
            <w:noWrap/>
          </w:tcPr>
          <w:p w14:paraId="2E1585F8" w14:textId="77777777" w:rsidR="00762925" w:rsidRPr="00E32E06" w:rsidRDefault="00762925" w:rsidP="001315CE">
            <w:pPr>
              <w:pStyle w:val="Tabletext0"/>
              <w:rPr>
                <w:rFonts w:cs="Arial"/>
                <w:color w:val="000000"/>
              </w:rPr>
            </w:pPr>
          </w:p>
        </w:tc>
        <w:tc>
          <w:tcPr>
            <w:tcW w:w="1761" w:type="dxa"/>
          </w:tcPr>
          <w:p w14:paraId="0AC13CF6" w14:textId="77777777" w:rsidR="00762925" w:rsidRPr="00E32E06" w:rsidRDefault="00762925" w:rsidP="001315CE">
            <w:pPr>
              <w:pStyle w:val="Tabletext0"/>
              <w:rPr>
                <w:rFonts w:cs="Arial"/>
                <w:color w:val="000000"/>
              </w:rPr>
            </w:pPr>
          </w:p>
        </w:tc>
        <w:tc>
          <w:tcPr>
            <w:tcW w:w="1499" w:type="dxa"/>
            <w:vAlign w:val="bottom"/>
          </w:tcPr>
          <w:p w14:paraId="324C4FE2" w14:textId="77777777" w:rsidR="00762925" w:rsidRPr="00800579" w:rsidRDefault="00762925" w:rsidP="001315CE">
            <w:pPr>
              <w:pStyle w:val="Tabletext0"/>
              <w:rPr>
                <w:rFonts w:cs="Arial"/>
                <w:b/>
                <w:bCs/>
                <w:i/>
                <w:iCs/>
                <w:color w:val="000000"/>
                <w:highlight w:val="green"/>
              </w:rPr>
            </w:pPr>
            <w:r w:rsidRPr="00800579">
              <w:rPr>
                <w:rFonts w:cs="Arial"/>
                <w:b/>
                <w:bCs/>
                <w:i/>
                <w:iCs/>
                <w:color w:val="000000"/>
                <w:highlight w:val="green"/>
              </w:rPr>
              <w:t>NTRK1</w:t>
            </w:r>
          </w:p>
        </w:tc>
        <w:tc>
          <w:tcPr>
            <w:tcW w:w="2693" w:type="dxa"/>
          </w:tcPr>
          <w:p w14:paraId="34A15284" w14:textId="77777777" w:rsidR="00762925" w:rsidRPr="00800579" w:rsidRDefault="00762925" w:rsidP="001315CE">
            <w:pPr>
              <w:pStyle w:val="Tabletext0"/>
              <w:rPr>
                <w:rFonts w:cs="Arial"/>
                <w:b/>
                <w:bCs/>
                <w:i/>
                <w:iCs/>
                <w:color w:val="000000"/>
                <w:highlight w:val="green"/>
              </w:rPr>
            </w:pPr>
          </w:p>
        </w:tc>
      </w:tr>
      <w:tr w:rsidR="00762925" w:rsidRPr="003D5014" w14:paraId="5542976D" w14:textId="77777777" w:rsidTr="001315CE">
        <w:trPr>
          <w:trHeight w:val="295"/>
        </w:trPr>
        <w:tc>
          <w:tcPr>
            <w:tcW w:w="2802" w:type="dxa"/>
            <w:noWrap/>
          </w:tcPr>
          <w:p w14:paraId="65A998BD" w14:textId="77777777" w:rsidR="00762925" w:rsidRPr="00E32E06" w:rsidRDefault="00762925" w:rsidP="001315CE">
            <w:pPr>
              <w:pStyle w:val="Tabletext0"/>
              <w:rPr>
                <w:rFonts w:cs="Arial"/>
                <w:color w:val="000000"/>
              </w:rPr>
            </w:pPr>
          </w:p>
        </w:tc>
        <w:tc>
          <w:tcPr>
            <w:tcW w:w="1761" w:type="dxa"/>
          </w:tcPr>
          <w:p w14:paraId="36557835" w14:textId="77777777" w:rsidR="00762925" w:rsidRPr="00E32E06" w:rsidRDefault="00762925" w:rsidP="001315CE">
            <w:pPr>
              <w:pStyle w:val="Tabletext0"/>
              <w:rPr>
                <w:rFonts w:cs="Arial"/>
                <w:color w:val="000000"/>
              </w:rPr>
            </w:pPr>
          </w:p>
        </w:tc>
        <w:tc>
          <w:tcPr>
            <w:tcW w:w="1499" w:type="dxa"/>
            <w:vAlign w:val="bottom"/>
          </w:tcPr>
          <w:p w14:paraId="07F1522A" w14:textId="77777777" w:rsidR="00762925" w:rsidRPr="00800579" w:rsidRDefault="00762925" w:rsidP="001315CE">
            <w:pPr>
              <w:pStyle w:val="Tabletext0"/>
              <w:rPr>
                <w:rFonts w:cs="Arial"/>
                <w:b/>
                <w:bCs/>
                <w:i/>
                <w:iCs/>
                <w:color w:val="000000"/>
                <w:highlight w:val="green"/>
              </w:rPr>
            </w:pPr>
            <w:r w:rsidRPr="00800579">
              <w:rPr>
                <w:rFonts w:cs="Arial"/>
                <w:b/>
                <w:bCs/>
                <w:i/>
                <w:iCs/>
                <w:color w:val="000000"/>
                <w:highlight w:val="green"/>
              </w:rPr>
              <w:t>NTRK2</w:t>
            </w:r>
          </w:p>
        </w:tc>
        <w:tc>
          <w:tcPr>
            <w:tcW w:w="2693" w:type="dxa"/>
          </w:tcPr>
          <w:p w14:paraId="4FE9BE9E" w14:textId="77777777" w:rsidR="00762925" w:rsidRPr="00800579" w:rsidRDefault="00762925" w:rsidP="001315CE">
            <w:pPr>
              <w:pStyle w:val="Tabletext0"/>
              <w:rPr>
                <w:rFonts w:cs="Arial"/>
                <w:b/>
                <w:bCs/>
                <w:i/>
                <w:iCs/>
                <w:color w:val="000000"/>
                <w:highlight w:val="green"/>
              </w:rPr>
            </w:pPr>
          </w:p>
        </w:tc>
      </w:tr>
      <w:tr w:rsidR="00762925" w:rsidRPr="003D5014" w14:paraId="0CC177A6" w14:textId="77777777" w:rsidTr="001315CE">
        <w:trPr>
          <w:trHeight w:val="295"/>
        </w:trPr>
        <w:tc>
          <w:tcPr>
            <w:tcW w:w="2802" w:type="dxa"/>
            <w:noWrap/>
          </w:tcPr>
          <w:p w14:paraId="76B81D3E" w14:textId="77777777" w:rsidR="00762925" w:rsidRPr="00E32E06" w:rsidRDefault="00762925" w:rsidP="001315CE">
            <w:pPr>
              <w:pStyle w:val="Tabletext0"/>
              <w:rPr>
                <w:rFonts w:cs="Arial"/>
                <w:color w:val="000000"/>
              </w:rPr>
            </w:pPr>
          </w:p>
        </w:tc>
        <w:tc>
          <w:tcPr>
            <w:tcW w:w="1761" w:type="dxa"/>
          </w:tcPr>
          <w:p w14:paraId="1046BBE7" w14:textId="77777777" w:rsidR="00762925" w:rsidRPr="00E32E06" w:rsidRDefault="00762925" w:rsidP="001315CE">
            <w:pPr>
              <w:pStyle w:val="Tabletext0"/>
              <w:rPr>
                <w:rFonts w:cs="Arial"/>
                <w:color w:val="000000"/>
              </w:rPr>
            </w:pPr>
          </w:p>
        </w:tc>
        <w:tc>
          <w:tcPr>
            <w:tcW w:w="1499" w:type="dxa"/>
            <w:vAlign w:val="bottom"/>
          </w:tcPr>
          <w:p w14:paraId="04A34172" w14:textId="77777777" w:rsidR="00762925" w:rsidRPr="00800579" w:rsidRDefault="00762925" w:rsidP="001315CE">
            <w:pPr>
              <w:pStyle w:val="Tabletext0"/>
              <w:rPr>
                <w:rFonts w:cs="Arial"/>
                <w:b/>
                <w:bCs/>
                <w:i/>
                <w:iCs/>
                <w:color w:val="000000"/>
                <w:highlight w:val="green"/>
              </w:rPr>
            </w:pPr>
            <w:r w:rsidRPr="00800579">
              <w:rPr>
                <w:rFonts w:cs="Arial"/>
                <w:b/>
                <w:bCs/>
                <w:i/>
                <w:iCs/>
                <w:color w:val="000000"/>
                <w:highlight w:val="green"/>
              </w:rPr>
              <w:t>NTRK3</w:t>
            </w:r>
          </w:p>
        </w:tc>
        <w:tc>
          <w:tcPr>
            <w:tcW w:w="2693" w:type="dxa"/>
          </w:tcPr>
          <w:p w14:paraId="0612728E" w14:textId="77777777" w:rsidR="00762925" w:rsidRPr="00800579" w:rsidRDefault="00762925" w:rsidP="001315CE">
            <w:pPr>
              <w:pStyle w:val="Tabletext0"/>
              <w:rPr>
                <w:rFonts w:cs="Arial"/>
                <w:b/>
                <w:bCs/>
                <w:i/>
                <w:iCs/>
                <w:color w:val="000000"/>
                <w:highlight w:val="green"/>
              </w:rPr>
            </w:pPr>
          </w:p>
        </w:tc>
      </w:tr>
      <w:tr w:rsidR="00762925" w:rsidRPr="003D5014" w14:paraId="04D57F82" w14:textId="77777777" w:rsidTr="001315CE">
        <w:trPr>
          <w:trHeight w:val="295"/>
        </w:trPr>
        <w:tc>
          <w:tcPr>
            <w:tcW w:w="2802" w:type="dxa"/>
            <w:noWrap/>
          </w:tcPr>
          <w:p w14:paraId="7517C869" w14:textId="77777777" w:rsidR="00762925" w:rsidRPr="00E32E06" w:rsidRDefault="00762925" w:rsidP="001315CE">
            <w:pPr>
              <w:pStyle w:val="Tabletext0"/>
              <w:rPr>
                <w:rFonts w:cs="Arial"/>
                <w:color w:val="000000"/>
              </w:rPr>
            </w:pPr>
          </w:p>
        </w:tc>
        <w:tc>
          <w:tcPr>
            <w:tcW w:w="1761" w:type="dxa"/>
          </w:tcPr>
          <w:p w14:paraId="2C704B53" w14:textId="77777777" w:rsidR="00762925" w:rsidRPr="00E32E06" w:rsidRDefault="00762925" w:rsidP="001315CE">
            <w:pPr>
              <w:pStyle w:val="Tabletext0"/>
              <w:rPr>
                <w:rFonts w:cs="Arial"/>
                <w:color w:val="000000"/>
              </w:rPr>
            </w:pPr>
          </w:p>
        </w:tc>
        <w:tc>
          <w:tcPr>
            <w:tcW w:w="1499" w:type="dxa"/>
            <w:vAlign w:val="bottom"/>
          </w:tcPr>
          <w:p w14:paraId="6B066745" w14:textId="77777777" w:rsidR="00762925" w:rsidRPr="003D5014" w:rsidRDefault="00762925" w:rsidP="001315CE">
            <w:pPr>
              <w:pStyle w:val="Tabletext0"/>
              <w:rPr>
                <w:rFonts w:cs="Arial"/>
                <w:i/>
                <w:iCs/>
                <w:color w:val="000000"/>
              </w:rPr>
            </w:pPr>
            <w:r w:rsidRPr="00293966">
              <w:rPr>
                <w:rFonts w:cs="Arial"/>
                <w:i/>
                <w:iCs/>
                <w:color w:val="000000"/>
                <w:highlight w:val="green"/>
              </w:rPr>
              <w:t>PDGFRA</w:t>
            </w:r>
          </w:p>
        </w:tc>
        <w:tc>
          <w:tcPr>
            <w:tcW w:w="2693" w:type="dxa"/>
          </w:tcPr>
          <w:p w14:paraId="6FB4C424" w14:textId="77777777" w:rsidR="00762925" w:rsidRPr="003D5014" w:rsidRDefault="00762925" w:rsidP="001315CE">
            <w:pPr>
              <w:pStyle w:val="Tabletext0"/>
              <w:rPr>
                <w:rFonts w:cs="Arial"/>
                <w:i/>
                <w:iCs/>
                <w:color w:val="000000"/>
              </w:rPr>
            </w:pPr>
          </w:p>
        </w:tc>
      </w:tr>
      <w:tr w:rsidR="00762925" w:rsidRPr="003D5014" w14:paraId="67D2AC36" w14:textId="77777777" w:rsidTr="001315CE">
        <w:trPr>
          <w:trHeight w:val="295"/>
        </w:trPr>
        <w:tc>
          <w:tcPr>
            <w:tcW w:w="2802" w:type="dxa"/>
            <w:noWrap/>
          </w:tcPr>
          <w:p w14:paraId="0D895D65" w14:textId="77777777" w:rsidR="00762925" w:rsidRPr="00E32E06" w:rsidRDefault="00762925" w:rsidP="001315CE">
            <w:pPr>
              <w:pStyle w:val="Tabletext0"/>
              <w:rPr>
                <w:rFonts w:cs="Arial"/>
                <w:color w:val="000000"/>
              </w:rPr>
            </w:pPr>
          </w:p>
        </w:tc>
        <w:tc>
          <w:tcPr>
            <w:tcW w:w="1761" w:type="dxa"/>
          </w:tcPr>
          <w:p w14:paraId="69D0A3E3" w14:textId="77777777" w:rsidR="00762925" w:rsidRPr="00E32E06" w:rsidRDefault="00762925" w:rsidP="001315CE">
            <w:pPr>
              <w:pStyle w:val="Tabletext0"/>
              <w:rPr>
                <w:rFonts w:cs="Arial"/>
                <w:color w:val="000000"/>
              </w:rPr>
            </w:pPr>
          </w:p>
        </w:tc>
        <w:tc>
          <w:tcPr>
            <w:tcW w:w="1499" w:type="dxa"/>
            <w:vAlign w:val="bottom"/>
          </w:tcPr>
          <w:p w14:paraId="042C1E26" w14:textId="77777777" w:rsidR="00762925" w:rsidRPr="003D5014" w:rsidRDefault="00762925" w:rsidP="001315CE">
            <w:pPr>
              <w:pStyle w:val="Tabletext0"/>
              <w:rPr>
                <w:rFonts w:cs="Arial"/>
                <w:i/>
                <w:iCs/>
                <w:color w:val="000000"/>
              </w:rPr>
            </w:pPr>
            <w:r w:rsidRPr="003D5014">
              <w:rPr>
                <w:rFonts w:cs="Arial"/>
                <w:i/>
                <w:iCs/>
                <w:color w:val="000000"/>
              </w:rPr>
              <w:t>PIK3CA</w:t>
            </w:r>
          </w:p>
        </w:tc>
        <w:tc>
          <w:tcPr>
            <w:tcW w:w="2693" w:type="dxa"/>
          </w:tcPr>
          <w:p w14:paraId="2B8D53C0" w14:textId="77777777" w:rsidR="00762925" w:rsidRPr="003D5014" w:rsidRDefault="00762925" w:rsidP="001315CE">
            <w:pPr>
              <w:pStyle w:val="Tabletext0"/>
              <w:rPr>
                <w:rFonts w:cs="Arial"/>
                <w:i/>
                <w:iCs/>
                <w:color w:val="000000"/>
              </w:rPr>
            </w:pPr>
          </w:p>
        </w:tc>
      </w:tr>
      <w:tr w:rsidR="00762925" w:rsidRPr="003D5014" w14:paraId="0A5AB3BC" w14:textId="77777777" w:rsidTr="001315CE">
        <w:trPr>
          <w:trHeight w:val="295"/>
        </w:trPr>
        <w:tc>
          <w:tcPr>
            <w:tcW w:w="2802" w:type="dxa"/>
            <w:noWrap/>
          </w:tcPr>
          <w:p w14:paraId="18258E0E" w14:textId="77777777" w:rsidR="00762925" w:rsidRPr="00E32E06" w:rsidRDefault="00762925" w:rsidP="001315CE">
            <w:pPr>
              <w:pStyle w:val="Tabletext0"/>
              <w:rPr>
                <w:rFonts w:cs="Arial"/>
                <w:color w:val="000000"/>
              </w:rPr>
            </w:pPr>
          </w:p>
        </w:tc>
        <w:tc>
          <w:tcPr>
            <w:tcW w:w="1761" w:type="dxa"/>
          </w:tcPr>
          <w:p w14:paraId="73C75AEB" w14:textId="77777777" w:rsidR="00762925" w:rsidRPr="00E32E06" w:rsidRDefault="00762925" w:rsidP="001315CE">
            <w:pPr>
              <w:pStyle w:val="Tabletext0"/>
              <w:rPr>
                <w:rFonts w:cs="Arial"/>
                <w:color w:val="000000"/>
              </w:rPr>
            </w:pPr>
          </w:p>
        </w:tc>
        <w:tc>
          <w:tcPr>
            <w:tcW w:w="1499" w:type="dxa"/>
            <w:vAlign w:val="bottom"/>
          </w:tcPr>
          <w:p w14:paraId="41F7CD2D" w14:textId="77777777" w:rsidR="00762925" w:rsidRPr="003D5014" w:rsidRDefault="00762925" w:rsidP="001315CE">
            <w:pPr>
              <w:pStyle w:val="Tabletext0"/>
              <w:rPr>
                <w:rFonts w:cs="Arial"/>
                <w:i/>
                <w:iCs/>
                <w:color w:val="000000"/>
              </w:rPr>
            </w:pPr>
            <w:r w:rsidRPr="003D5014">
              <w:rPr>
                <w:rFonts w:cs="Arial"/>
                <w:i/>
                <w:iCs/>
                <w:color w:val="000000"/>
              </w:rPr>
              <w:t>PIK3R1</w:t>
            </w:r>
          </w:p>
        </w:tc>
        <w:tc>
          <w:tcPr>
            <w:tcW w:w="2693" w:type="dxa"/>
          </w:tcPr>
          <w:p w14:paraId="5A870F16" w14:textId="77777777" w:rsidR="00762925" w:rsidRPr="003D5014" w:rsidRDefault="00762925" w:rsidP="001315CE">
            <w:pPr>
              <w:pStyle w:val="Tabletext0"/>
              <w:rPr>
                <w:rFonts w:cs="Arial"/>
                <w:i/>
                <w:iCs/>
                <w:color w:val="000000"/>
              </w:rPr>
            </w:pPr>
          </w:p>
        </w:tc>
      </w:tr>
      <w:tr w:rsidR="00762925" w:rsidRPr="003D5014" w14:paraId="78A5B19B" w14:textId="77777777" w:rsidTr="001315CE">
        <w:trPr>
          <w:trHeight w:val="295"/>
        </w:trPr>
        <w:tc>
          <w:tcPr>
            <w:tcW w:w="2802" w:type="dxa"/>
            <w:noWrap/>
          </w:tcPr>
          <w:p w14:paraId="54ADE69F" w14:textId="77777777" w:rsidR="00762925" w:rsidRPr="00E32E06" w:rsidRDefault="00762925" w:rsidP="001315CE">
            <w:pPr>
              <w:pStyle w:val="Tabletext0"/>
              <w:rPr>
                <w:rFonts w:cs="Arial"/>
                <w:color w:val="000000"/>
              </w:rPr>
            </w:pPr>
          </w:p>
        </w:tc>
        <w:tc>
          <w:tcPr>
            <w:tcW w:w="1761" w:type="dxa"/>
          </w:tcPr>
          <w:p w14:paraId="2E754BDD" w14:textId="77777777" w:rsidR="00762925" w:rsidRPr="00E32E06" w:rsidRDefault="00762925" w:rsidP="001315CE">
            <w:pPr>
              <w:pStyle w:val="Tabletext0"/>
              <w:rPr>
                <w:rFonts w:cs="Arial"/>
                <w:color w:val="000000"/>
              </w:rPr>
            </w:pPr>
          </w:p>
        </w:tc>
        <w:tc>
          <w:tcPr>
            <w:tcW w:w="1499" w:type="dxa"/>
            <w:vAlign w:val="bottom"/>
          </w:tcPr>
          <w:p w14:paraId="64EC188D" w14:textId="77777777" w:rsidR="00762925" w:rsidRPr="003D5014" w:rsidRDefault="00762925" w:rsidP="001315CE">
            <w:pPr>
              <w:pStyle w:val="Tabletext0"/>
              <w:rPr>
                <w:rFonts w:cs="Arial"/>
                <w:i/>
                <w:iCs/>
                <w:color w:val="000000"/>
              </w:rPr>
            </w:pPr>
            <w:r w:rsidRPr="003D5014">
              <w:rPr>
                <w:rFonts w:cs="Arial"/>
                <w:i/>
                <w:iCs/>
                <w:color w:val="000000"/>
              </w:rPr>
              <w:t>PRKCA</w:t>
            </w:r>
          </w:p>
        </w:tc>
        <w:tc>
          <w:tcPr>
            <w:tcW w:w="2693" w:type="dxa"/>
          </w:tcPr>
          <w:p w14:paraId="5076CD10" w14:textId="77777777" w:rsidR="00762925" w:rsidRPr="003D5014" w:rsidRDefault="00762925" w:rsidP="001315CE">
            <w:pPr>
              <w:pStyle w:val="Tabletext0"/>
              <w:rPr>
                <w:rFonts w:cs="Arial"/>
                <w:i/>
                <w:iCs/>
                <w:color w:val="000000"/>
              </w:rPr>
            </w:pPr>
          </w:p>
        </w:tc>
      </w:tr>
      <w:tr w:rsidR="00762925" w:rsidRPr="003D5014" w14:paraId="155DBA39" w14:textId="77777777" w:rsidTr="001315CE">
        <w:trPr>
          <w:trHeight w:val="295"/>
        </w:trPr>
        <w:tc>
          <w:tcPr>
            <w:tcW w:w="2802" w:type="dxa"/>
            <w:noWrap/>
          </w:tcPr>
          <w:p w14:paraId="079B7C80" w14:textId="77777777" w:rsidR="00762925" w:rsidRPr="00E32E06" w:rsidRDefault="00762925" w:rsidP="001315CE">
            <w:pPr>
              <w:pStyle w:val="Tabletext0"/>
              <w:rPr>
                <w:rFonts w:cs="Arial"/>
                <w:color w:val="000000"/>
              </w:rPr>
            </w:pPr>
          </w:p>
        </w:tc>
        <w:tc>
          <w:tcPr>
            <w:tcW w:w="1761" w:type="dxa"/>
          </w:tcPr>
          <w:p w14:paraId="7303F145" w14:textId="77777777" w:rsidR="00762925" w:rsidRPr="00E32E06" w:rsidRDefault="00762925" w:rsidP="001315CE">
            <w:pPr>
              <w:pStyle w:val="Tabletext0"/>
              <w:rPr>
                <w:rFonts w:cs="Arial"/>
                <w:color w:val="000000"/>
              </w:rPr>
            </w:pPr>
          </w:p>
        </w:tc>
        <w:tc>
          <w:tcPr>
            <w:tcW w:w="1499" w:type="dxa"/>
            <w:vAlign w:val="bottom"/>
          </w:tcPr>
          <w:p w14:paraId="794BDBCC" w14:textId="77777777" w:rsidR="00762925" w:rsidRPr="003D5014" w:rsidRDefault="00762925" w:rsidP="001315CE">
            <w:pPr>
              <w:pStyle w:val="Tabletext0"/>
              <w:rPr>
                <w:rFonts w:cs="Arial"/>
                <w:i/>
                <w:iCs/>
                <w:color w:val="000000"/>
              </w:rPr>
            </w:pPr>
            <w:r w:rsidRPr="00293966">
              <w:rPr>
                <w:rFonts w:cs="Arial"/>
                <w:i/>
                <w:iCs/>
                <w:color w:val="000000"/>
                <w:highlight w:val="green"/>
              </w:rPr>
              <w:t>PTEN</w:t>
            </w:r>
          </w:p>
        </w:tc>
        <w:tc>
          <w:tcPr>
            <w:tcW w:w="2693" w:type="dxa"/>
          </w:tcPr>
          <w:p w14:paraId="6E3C2B80" w14:textId="77777777" w:rsidR="00762925" w:rsidRPr="003D5014" w:rsidRDefault="00762925" w:rsidP="001315CE">
            <w:pPr>
              <w:pStyle w:val="Tabletext0"/>
              <w:rPr>
                <w:rFonts w:cs="Arial"/>
                <w:i/>
                <w:iCs/>
                <w:color w:val="000000"/>
              </w:rPr>
            </w:pPr>
          </w:p>
        </w:tc>
      </w:tr>
      <w:tr w:rsidR="00762925" w:rsidRPr="003D5014" w14:paraId="0B607858" w14:textId="77777777" w:rsidTr="001315CE">
        <w:trPr>
          <w:trHeight w:val="295"/>
        </w:trPr>
        <w:tc>
          <w:tcPr>
            <w:tcW w:w="2802" w:type="dxa"/>
            <w:noWrap/>
          </w:tcPr>
          <w:p w14:paraId="47BDE5C3" w14:textId="77777777" w:rsidR="00762925" w:rsidRPr="00E32E06" w:rsidRDefault="00762925" w:rsidP="001315CE">
            <w:pPr>
              <w:pStyle w:val="Tabletext0"/>
              <w:rPr>
                <w:rFonts w:cs="Arial"/>
                <w:color w:val="000000"/>
              </w:rPr>
            </w:pPr>
          </w:p>
        </w:tc>
        <w:tc>
          <w:tcPr>
            <w:tcW w:w="1761" w:type="dxa"/>
          </w:tcPr>
          <w:p w14:paraId="5B244780" w14:textId="77777777" w:rsidR="00762925" w:rsidRPr="00E32E06" w:rsidRDefault="00762925" w:rsidP="001315CE">
            <w:pPr>
              <w:pStyle w:val="Tabletext0"/>
              <w:rPr>
                <w:rFonts w:cs="Arial"/>
                <w:color w:val="000000"/>
              </w:rPr>
            </w:pPr>
          </w:p>
        </w:tc>
        <w:tc>
          <w:tcPr>
            <w:tcW w:w="1499" w:type="dxa"/>
            <w:vAlign w:val="bottom"/>
          </w:tcPr>
          <w:p w14:paraId="19D7D54A" w14:textId="77777777" w:rsidR="00762925" w:rsidRPr="003D5014" w:rsidRDefault="00762925" w:rsidP="001315CE">
            <w:pPr>
              <w:pStyle w:val="Tabletext0"/>
              <w:rPr>
                <w:rFonts w:cs="Arial"/>
                <w:i/>
                <w:iCs/>
                <w:color w:val="000000"/>
              </w:rPr>
            </w:pPr>
            <w:r w:rsidRPr="003D5014">
              <w:rPr>
                <w:rFonts w:cs="Arial"/>
                <w:i/>
                <w:iCs/>
                <w:color w:val="000000"/>
              </w:rPr>
              <w:t>RB1</w:t>
            </w:r>
          </w:p>
        </w:tc>
        <w:tc>
          <w:tcPr>
            <w:tcW w:w="2693" w:type="dxa"/>
          </w:tcPr>
          <w:p w14:paraId="081E3EEB" w14:textId="77777777" w:rsidR="00762925" w:rsidRPr="003D5014" w:rsidRDefault="00762925" w:rsidP="001315CE">
            <w:pPr>
              <w:pStyle w:val="Tabletext0"/>
              <w:rPr>
                <w:rFonts w:cs="Arial"/>
                <w:i/>
                <w:iCs/>
                <w:color w:val="000000"/>
              </w:rPr>
            </w:pPr>
          </w:p>
        </w:tc>
      </w:tr>
      <w:tr w:rsidR="00762925" w:rsidRPr="003D5014" w14:paraId="4CF3EC8B" w14:textId="77777777" w:rsidTr="001315CE">
        <w:trPr>
          <w:trHeight w:val="295"/>
        </w:trPr>
        <w:tc>
          <w:tcPr>
            <w:tcW w:w="2802" w:type="dxa"/>
            <w:noWrap/>
          </w:tcPr>
          <w:p w14:paraId="0EF57993" w14:textId="77777777" w:rsidR="00762925" w:rsidRPr="00E32E06" w:rsidRDefault="00762925" w:rsidP="001315CE">
            <w:pPr>
              <w:pStyle w:val="Tabletext0"/>
              <w:rPr>
                <w:rFonts w:cs="Arial"/>
                <w:color w:val="000000"/>
              </w:rPr>
            </w:pPr>
          </w:p>
        </w:tc>
        <w:tc>
          <w:tcPr>
            <w:tcW w:w="1761" w:type="dxa"/>
          </w:tcPr>
          <w:p w14:paraId="7A45B951" w14:textId="77777777" w:rsidR="00762925" w:rsidRPr="00E32E06" w:rsidRDefault="00762925" w:rsidP="001315CE">
            <w:pPr>
              <w:pStyle w:val="Tabletext0"/>
              <w:rPr>
                <w:rFonts w:cs="Arial"/>
                <w:color w:val="000000"/>
              </w:rPr>
            </w:pPr>
          </w:p>
        </w:tc>
        <w:tc>
          <w:tcPr>
            <w:tcW w:w="1499" w:type="dxa"/>
            <w:vAlign w:val="bottom"/>
          </w:tcPr>
          <w:p w14:paraId="5FE34C1D" w14:textId="77777777" w:rsidR="00762925" w:rsidRPr="003D5014" w:rsidRDefault="00762925" w:rsidP="001315CE">
            <w:pPr>
              <w:pStyle w:val="Tabletext0"/>
              <w:rPr>
                <w:rFonts w:cs="Arial"/>
                <w:b/>
                <w:bCs/>
                <w:i/>
                <w:iCs/>
                <w:color w:val="000000"/>
              </w:rPr>
            </w:pPr>
            <w:r w:rsidRPr="003D5014">
              <w:rPr>
                <w:rFonts w:cs="Arial"/>
                <w:b/>
                <w:bCs/>
                <w:i/>
                <w:iCs/>
                <w:color w:val="000000"/>
              </w:rPr>
              <w:t>ROS1</w:t>
            </w:r>
          </w:p>
        </w:tc>
        <w:tc>
          <w:tcPr>
            <w:tcW w:w="2693" w:type="dxa"/>
          </w:tcPr>
          <w:p w14:paraId="2DEBDFC2" w14:textId="77777777" w:rsidR="00762925" w:rsidRPr="003D5014" w:rsidRDefault="00762925" w:rsidP="001315CE">
            <w:pPr>
              <w:pStyle w:val="Tabletext0"/>
              <w:rPr>
                <w:rFonts w:cs="Arial"/>
                <w:b/>
                <w:bCs/>
                <w:i/>
                <w:iCs/>
                <w:color w:val="000000"/>
              </w:rPr>
            </w:pPr>
          </w:p>
        </w:tc>
      </w:tr>
      <w:tr w:rsidR="00762925" w:rsidRPr="003D5014" w14:paraId="0236539C" w14:textId="77777777" w:rsidTr="001315CE">
        <w:trPr>
          <w:trHeight w:val="295"/>
        </w:trPr>
        <w:tc>
          <w:tcPr>
            <w:tcW w:w="2802" w:type="dxa"/>
            <w:noWrap/>
          </w:tcPr>
          <w:p w14:paraId="44C66CE2" w14:textId="77777777" w:rsidR="00762925" w:rsidRPr="00E32E06" w:rsidRDefault="00762925" w:rsidP="001315CE">
            <w:pPr>
              <w:pStyle w:val="Tabletext0"/>
              <w:rPr>
                <w:rFonts w:cs="Arial"/>
                <w:color w:val="000000"/>
              </w:rPr>
            </w:pPr>
          </w:p>
        </w:tc>
        <w:tc>
          <w:tcPr>
            <w:tcW w:w="1761" w:type="dxa"/>
          </w:tcPr>
          <w:p w14:paraId="0B4BF285" w14:textId="77777777" w:rsidR="00762925" w:rsidRPr="00E32E06" w:rsidRDefault="00762925" w:rsidP="001315CE">
            <w:pPr>
              <w:pStyle w:val="Tabletext0"/>
              <w:rPr>
                <w:rFonts w:cs="Arial"/>
                <w:color w:val="000000"/>
              </w:rPr>
            </w:pPr>
          </w:p>
        </w:tc>
        <w:tc>
          <w:tcPr>
            <w:tcW w:w="1499" w:type="dxa"/>
            <w:vAlign w:val="bottom"/>
          </w:tcPr>
          <w:p w14:paraId="7BA398AD" w14:textId="77777777" w:rsidR="00762925" w:rsidRPr="003D5014" w:rsidRDefault="00762925" w:rsidP="001315CE">
            <w:pPr>
              <w:pStyle w:val="Tabletext0"/>
              <w:rPr>
                <w:rFonts w:cs="Arial"/>
                <w:b/>
                <w:bCs/>
                <w:i/>
                <w:iCs/>
                <w:color w:val="000000"/>
              </w:rPr>
            </w:pPr>
            <w:r w:rsidRPr="003D5014">
              <w:rPr>
                <w:rFonts w:cs="Arial"/>
                <w:b/>
                <w:bCs/>
                <w:i/>
                <w:iCs/>
                <w:color w:val="000000"/>
              </w:rPr>
              <w:t>TACC1</w:t>
            </w:r>
          </w:p>
        </w:tc>
        <w:tc>
          <w:tcPr>
            <w:tcW w:w="2693" w:type="dxa"/>
          </w:tcPr>
          <w:p w14:paraId="4E25262C" w14:textId="77777777" w:rsidR="00762925" w:rsidRPr="003D5014" w:rsidRDefault="00762925" w:rsidP="001315CE">
            <w:pPr>
              <w:pStyle w:val="Tabletext0"/>
              <w:rPr>
                <w:rFonts w:cs="Arial"/>
                <w:b/>
                <w:bCs/>
                <w:i/>
                <w:iCs/>
                <w:color w:val="000000"/>
              </w:rPr>
            </w:pPr>
          </w:p>
        </w:tc>
      </w:tr>
      <w:tr w:rsidR="00762925" w:rsidRPr="003D5014" w14:paraId="1CC3FB15" w14:textId="77777777" w:rsidTr="001315CE">
        <w:trPr>
          <w:trHeight w:val="295"/>
        </w:trPr>
        <w:tc>
          <w:tcPr>
            <w:tcW w:w="2802" w:type="dxa"/>
            <w:noWrap/>
          </w:tcPr>
          <w:p w14:paraId="7932312E" w14:textId="77777777" w:rsidR="00762925" w:rsidRPr="00E32E06" w:rsidRDefault="00762925" w:rsidP="001315CE">
            <w:pPr>
              <w:pStyle w:val="Tabletext0"/>
              <w:rPr>
                <w:rFonts w:cs="Arial"/>
                <w:color w:val="000000"/>
              </w:rPr>
            </w:pPr>
          </w:p>
        </w:tc>
        <w:tc>
          <w:tcPr>
            <w:tcW w:w="1761" w:type="dxa"/>
          </w:tcPr>
          <w:p w14:paraId="1595A3AF" w14:textId="77777777" w:rsidR="00762925" w:rsidRPr="00E32E06" w:rsidRDefault="00762925" w:rsidP="001315CE">
            <w:pPr>
              <w:pStyle w:val="Tabletext0"/>
              <w:rPr>
                <w:rFonts w:cs="Arial"/>
                <w:color w:val="000000"/>
              </w:rPr>
            </w:pPr>
          </w:p>
        </w:tc>
        <w:tc>
          <w:tcPr>
            <w:tcW w:w="1499" w:type="dxa"/>
            <w:vAlign w:val="bottom"/>
          </w:tcPr>
          <w:p w14:paraId="28B51F42" w14:textId="77777777" w:rsidR="00762925" w:rsidRPr="003D5014" w:rsidRDefault="00762925" w:rsidP="001315CE">
            <w:pPr>
              <w:pStyle w:val="Tabletext0"/>
              <w:rPr>
                <w:rFonts w:cs="Arial"/>
                <w:i/>
                <w:iCs/>
                <w:color w:val="000000"/>
              </w:rPr>
            </w:pPr>
            <w:r w:rsidRPr="003D5014">
              <w:rPr>
                <w:rFonts w:cs="Arial"/>
                <w:i/>
                <w:iCs/>
                <w:color w:val="000000"/>
              </w:rPr>
              <w:t>TSC1</w:t>
            </w:r>
          </w:p>
        </w:tc>
        <w:tc>
          <w:tcPr>
            <w:tcW w:w="2693" w:type="dxa"/>
          </w:tcPr>
          <w:p w14:paraId="477CE0AC" w14:textId="77777777" w:rsidR="00762925" w:rsidRPr="003D5014" w:rsidRDefault="00762925" w:rsidP="001315CE">
            <w:pPr>
              <w:pStyle w:val="Tabletext0"/>
              <w:rPr>
                <w:rFonts w:cs="Arial"/>
                <w:i/>
                <w:iCs/>
                <w:color w:val="000000"/>
              </w:rPr>
            </w:pPr>
          </w:p>
        </w:tc>
      </w:tr>
      <w:tr w:rsidR="00762925" w:rsidRPr="003D5014" w14:paraId="6E80EA64" w14:textId="77777777" w:rsidTr="001315CE">
        <w:trPr>
          <w:trHeight w:val="295"/>
        </w:trPr>
        <w:tc>
          <w:tcPr>
            <w:tcW w:w="2802" w:type="dxa"/>
            <w:noWrap/>
          </w:tcPr>
          <w:p w14:paraId="25840AE1" w14:textId="77777777" w:rsidR="00762925" w:rsidRPr="00E32E06" w:rsidRDefault="00762925" w:rsidP="001315CE">
            <w:pPr>
              <w:pStyle w:val="Tabletext0"/>
              <w:rPr>
                <w:rFonts w:cs="Arial"/>
                <w:color w:val="000000"/>
              </w:rPr>
            </w:pPr>
          </w:p>
        </w:tc>
        <w:tc>
          <w:tcPr>
            <w:tcW w:w="1761" w:type="dxa"/>
          </w:tcPr>
          <w:p w14:paraId="55A220B2" w14:textId="77777777" w:rsidR="00762925" w:rsidRPr="00E32E06" w:rsidRDefault="00762925" w:rsidP="001315CE">
            <w:pPr>
              <w:pStyle w:val="Tabletext0"/>
              <w:rPr>
                <w:rFonts w:cs="Arial"/>
                <w:color w:val="000000"/>
              </w:rPr>
            </w:pPr>
          </w:p>
        </w:tc>
        <w:tc>
          <w:tcPr>
            <w:tcW w:w="1499" w:type="dxa"/>
            <w:vAlign w:val="bottom"/>
          </w:tcPr>
          <w:p w14:paraId="47CD2707" w14:textId="77777777" w:rsidR="00762925" w:rsidRPr="003D5014" w:rsidRDefault="00762925" w:rsidP="001315CE">
            <w:pPr>
              <w:pStyle w:val="Tabletext0"/>
              <w:rPr>
                <w:rFonts w:cs="Arial"/>
                <w:i/>
                <w:iCs/>
                <w:color w:val="000000"/>
              </w:rPr>
            </w:pPr>
            <w:r w:rsidRPr="003D5014">
              <w:rPr>
                <w:rFonts w:cs="Arial"/>
                <w:i/>
                <w:iCs/>
                <w:color w:val="000000"/>
              </w:rPr>
              <w:t>TSC2</w:t>
            </w:r>
          </w:p>
        </w:tc>
        <w:tc>
          <w:tcPr>
            <w:tcW w:w="2693" w:type="dxa"/>
          </w:tcPr>
          <w:p w14:paraId="245F13A2" w14:textId="77777777" w:rsidR="00762925" w:rsidRPr="003D5014" w:rsidRDefault="00762925" w:rsidP="001315CE">
            <w:pPr>
              <w:pStyle w:val="Tabletext0"/>
              <w:rPr>
                <w:rFonts w:cs="Arial"/>
                <w:i/>
                <w:iCs/>
                <w:color w:val="000000"/>
              </w:rPr>
            </w:pPr>
          </w:p>
        </w:tc>
      </w:tr>
      <w:tr w:rsidR="00762925" w:rsidRPr="003D5014" w14:paraId="06E02FA8" w14:textId="77777777" w:rsidTr="001315CE">
        <w:trPr>
          <w:trHeight w:val="295"/>
        </w:trPr>
        <w:tc>
          <w:tcPr>
            <w:tcW w:w="2802" w:type="dxa"/>
            <w:noWrap/>
          </w:tcPr>
          <w:p w14:paraId="62ACF58A" w14:textId="77777777" w:rsidR="00762925" w:rsidRPr="00E32E06" w:rsidRDefault="00762925" w:rsidP="001315CE">
            <w:pPr>
              <w:pStyle w:val="Tabletext0"/>
              <w:rPr>
                <w:rFonts w:cs="Arial"/>
                <w:color w:val="000000"/>
              </w:rPr>
            </w:pPr>
          </w:p>
        </w:tc>
        <w:tc>
          <w:tcPr>
            <w:tcW w:w="1761" w:type="dxa"/>
          </w:tcPr>
          <w:p w14:paraId="205488AD" w14:textId="77777777" w:rsidR="00762925" w:rsidRPr="00E32E06" w:rsidRDefault="00762925" w:rsidP="001315CE">
            <w:pPr>
              <w:pStyle w:val="Tabletext0"/>
              <w:rPr>
                <w:rFonts w:cs="Arial"/>
                <w:color w:val="000000"/>
              </w:rPr>
            </w:pPr>
          </w:p>
        </w:tc>
        <w:tc>
          <w:tcPr>
            <w:tcW w:w="1499" w:type="dxa"/>
            <w:vAlign w:val="bottom"/>
          </w:tcPr>
          <w:p w14:paraId="660C0AA5" w14:textId="77777777" w:rsidR="00762925" w:rsidRPr="003D5014" w:rsidRDefault="00762925" w:rsidP="001315CE">
            <w:pPr>
              <w:pStyle w:val="Tabletext0"/>
              <w:rPr>
                <w:rFonts w:cs="Arial"/>
                <w:b/>
                <w:bCs/>
                <w:i/>
                <w:iCs/>
                <w:color w:val="000000"/>
              </w:rPr>
            </w:pPr>
            <w:r w:rsidRPr="003D5014">
              <w:rPr>
                <w:rFonts w:cs="Arial"/>
                <w:b/>
                <w:bCs/>
                <w:i/>
                <w:iCs/>
                <w:color w:val="000000"/>
              </w:rPr>
              <w:t>YAP1</w:t>
            </w:r>
          </w:p>
        </w:tc>
        <w:tc>
          <w:tcPr>
            <w:tcW w:w="2693" w:type="dxa"/>
          </w:tcPr>
          <w:p w14:paraId="770145D0" w14:textId="77777777" w:rsidR="00762925" w:rsidRPr="003D5014" w:rsidRDefault="00762925" w:rsidP="001315CE">
            <w:pPr>
              <w:pStyle w:val="Tabletext0"/>
              <w:rPr>
                <w:rFonts w:cs="Arial"/>
                <w:b/>
                <w:bCs/>
                <w:i/>
                <w:iCs/>
                <w:color w:val="000000"/>
              </w:rPr>
            </w:pPr>
          </w:p>
        </w:tc>
      </w:tr>
      <w:tr w:rsidR="00762925" w:rsidRPr="003D5014" w14:paraId="7AE469D4" w14:textId="77777777" w:rsidTr="001315CE">
        <w:trPr>
          <w:trHeight w:val="295"/>
        </w:trPr>
        <w:tc>
          <w:tcPr>
            <w:tcW w:w="2802" w:type="dxa"/>
            <w:noWrap/>
          </w:tcPr>
          <w:p w14:paraId="6190F381" w14:textId="77777777" w:rsidR="00762925" w:rsidRPr="00E32E06" w:rsidRDefault="00762925" w:rsidP="001315CE">
            <w:pPr>
              <w:pStyle w:val="Tabletext0"/>
              <w:rPr>
                <w:rFonts w:cs="Arial"/>
                <w:color w:val="000000"/>
              </w:rPr>
            </w:pPr>
          </w:p>
        </w:tc>
        <w:tc>
          <w:tcPr>
            <w:tcW w:w="1761" w:type="dxa"/>
          </w:tcPr>
          <w:p w14:paraId="10DA93E7" w14:textId="77777777" w:rsidR="00762925" w:rsidRPr="00E32E06" w:rsidRDefault="00762925" w:rsidP="001315CE">
            <w:pPr>
              <w:pStyle w:val="Tabletext0"/>
              <w:rPr>
                <w:rFonts w:cs="Arial"/>
                <w:color w:val="000000"/>
              </w:rPr>
            </w:pPr>
          </w:p>
        </w:tc>
        <w:tc>
          <w:tcPr>
            <w:tcW w:w="1499" w:type="dxa"/>
            <w:vAlign w:val="bottom"/>
          </w:tcPr>
          <w:p w14:paraId="2C68B7F2" w14:textId="77777777" w:rsidR="00762925" w:rsidRPr="003D5014" w:rsidRDefault="00762925" w:rsidP="001315CE">
            <w:pPr>
              <w:pStyle w:val="Tabletext0"/>
              <w:rPr>
                <w:rFonts w:cs="Arial"/>
                <w:b/>
                <w:bCs/>
                <w:i/>
                <w:iCs/>
                <w:color w:val="000000"/>
              </w:rPr>
            </w:pPr>
            <w:r w:rsidRPr="003D5014">
              <w:rPr>
                <w:rFonts w:cs="Arial"/>
                <w:b/>
                <w:bCs/>
                <w:i/>
                <w:iCs/>
                <w:color w:val="000000"/>
              </w:rPr>
              <w:t>ZFTA</w:t>
            </w:r>
          </w:p>
        </w:tc>
        <w:tc>
          <w:tcPr>
            <w:tcW w:w="2693" w:type="dxa"/>
          </w:tcPr>
          <w:p w14:paraId="48658D24" w14:textId="77777777" w:rsidR="00762925" w:rsidRPr="003D5014" w:rsidRDefault="00762925" w:rsidP="001315CE">
            <w:pPr>
              <w:pStyle w:val="Tabletext0"/>
              <w:rPr>
                <w:rFonts w:cs="Arial"/>
                <w:b/>
                <w:bCs/>
                <w:i/>
                <w:iCs/>
                <w:color w:val="000000"/>
              </w:rPr>
            </w:pPr>
          </w:p>
        </w:tc>
      </w:tr>
    </w:tbl>
    <w:p w14:paraId="27BCDC5C" w14:textId="77777777" w:rsidR="00762925" w:rsidRDefault="00762925" w:rsidP="00762925">
      <w:pPr>
        <w:pStyle w:val="Tablenotes"/>
      </w:pPr>
      <w:r w:rsidRPr="00BB706D">
        <w:t>Genes with clinical utility per NHS</w:t>
      </w:r>
      <w:r>
        <w:t>E</w:t>
      </w:r>
      <w:r w:rsidRPr="00BB706D">
        <w:t xml:space="preserve"> Genomics assessment are highlighted in green, and bold type indicates structural variants.</w:t>
      </w:r>
      <w:r>
        <w:t xml:space="preserve"> The number of genes in each category is indicated in brackets.</w:t>
      </w:r>
    </w:p>
    <w:p w14:paraId="135E7018" w14:textId="77777777" w:rsidR="00762925" w:rsidRDefault="00762925" w:rsidP="00762925">
      <w:pPr>
        <w:pStyle w:val="Tablenotes"/>
      </w:pPr>
      <w:r>
        <w:t>* nominated in proposed item descriptor</w:t>
      </w:r>
    </w:p>
    <w:p w14:paraId="28FF04D0" w14:textId="77777777" w:rsidR="00762925" w:rsidRDefault="00762925" w:rsidP="00762925">
      <w:pPr>
        <w:pStyle w:val="Tablenotes"/>
      </w:pPr>
      <w:r w:rsidRPr="00722BE0">
        <w:rPr>
          <w:vertAlign w:val="superscript"/>
        </w:rPr>
        <w:t>#</w:t>
      </w:r>
      <w:r w:rsidRPr="00722BE0">
        <w:t>also harbours mutations (SNVs) pertinent to dx of low grade neuroepithelial tumours</w:t>
      </w:r>
    </w:p>
    <w:p w14:paraId="5A686CF6" w14:textId="77777777" w:rsidR="00762925" w:rsidRDefault="00762925" w:rsidP="00762925">
      <w:pPr>
        <w:pStyle w:val="Tablenotes"/>
        <w:rPr>
          <w:rFonts w:cstheme="minorHAnsi"/>
          <w:color w:val="000000" w:themeColor="text1"/>
        </w:rPr>
      </w:pPr>
      <w:r w:rsidRPr="00722BE0">
        <w:rPr>
          <w:vertAlign w:val="superscript"/>
        </w:rPr>
        <w:t>+</w:t>
      </w:r>
      <w:r w:rsidRPr="00722BE0">
        <w:t>found to occur in 1 case of diffuse midline glioma, H3 K27-altered</w:t>
      </w:r>
    </w:p>
    <w:p w14:paraId="73290B8E" w14:textId="77777777" w:rsidR="00762925" w:rsidRPr="009D4C73" w:rsidRDefault="00762925" w:rsidP="00762925">
      <w:pPr>
        <w:pStyle w:val="Instructionaltext-afterfiguretable"/>
        <w:jc w:val="both"/>
        <w:rPr>
          <w:rFonts w:cstheme="minorHAnsi"/>
          <w:color w:val="000000" w:themeColor="text1"/>
        </w:rPr>
      </w:pPr>
      <w:r>
        <w:rPr>
          <w:rFonts w:cstheme="minorHAnsi"/>
          <w:color w:val="000000" w:themeColor="text1"/>
        </w:rPr>
        <w:t>In the meeting with the Applicant’s nominated expert, no</w:t>
      </w:r>
      <w:r w:rsidRPr="009D4C73">
        <w:rPr>
          <w:rFonts w:cstheme="minorHAnsi"/>
          <w:color w:val="000000" w:themeColor="text1"/>
        </w:rPr>
        <w:t xml:space="preserve"> defined approach to determining the ideal number of genes was reached (or indeed, those that might reasonably be excluded); however, it is presumed that if costed at, and restricted to the nominated genes with flexibility to include up to 25 genes, then additional testing would be required if initial testing was non-diagnostic or if it did not include predictive tests. Updated costing was not provided and would be needed to understand the cost implications of ex</w:t>
      </w:r>
      <w:r>
        <w:rPr>
          <w:rFonts w:cstheme="minorHAnsi"/>
          <w:color w:val="000000" w:themeColor="text1"/>
        </w:rPr>
        <w:t>pa</w:t>
      </w:r>
      <w:r w:rsidRPr="009D4C73">
        <w:rPr>
          <w:rFonts w:cstheme="minorHAnsi"/>
          <w:color w:val="000000" w:themeColor="text1"/>
        </w:rPr>
        <w:t>nding the panel size and increasing the complexity. MSAC may wish to guide as to whether a more comprehensive testing approach is supported, and whether additional costing is required.</w:t>
      </w:r>
    </w:p>
    <w:p w14:paraId="08AD3FE6" w14:textId="77777777" w:rsidR="00762925" w:rsidRDefault="00762925" w:rsidP="00F94444">
      <w:pPr>
        <w:pStyle w:val="Instructionaltext-afterfiguretable"/>
        <w:spacing w:before="240"/>
        <w:jc w:val="both"/>
        <w:rPr>
          <w:rFonts w:cstheme="minorHAnsi"/>
          <w:color w:val="000000" w:themeColor="text1"/>
        </w:rPr>
      </w:pPr>
      <w:r w:rsidRPr="002031C6">
        <w:rPr>
          <w:rFonts w:cstheme="minorHAnsi"/>
          <w:color w:val="000000" w:themeColor="text1"/>
        </w:rPr>
        <w:t xml:space="preserve">The HTA Group acknowledges MSAC’s previous </w:t>
      </w:r>
      <w:r>
        <w:rPr>
          <w:rFonts w:cstheme="minorHAnsi"/>
          <w:color w:val="000000" w:themeColor="text1"/>
        </w:rPr>
        <w:t>advice</w:t>
      </w:r>
      <w:r w:rsidRPr="002031C6">
        <w:rPr>
          <w:rFonts w:cstheme="minorHAnsi"/>
          <w:color w:val="000000" w:themeColor="text1"/>
        </w:rPr>
        <w:t xml:space="preserve"> about wording</w:t>
      </w:r>
      <w:bookmarkStart w:id="24" w:name="_Ref96321444"/>
      <w:r w:rsidRPr="002031C6">
        <w:rPr>
          <w:rStyle w:val="FootnoteReference"/>
          <w:rFonts w:cstheme="minorHAnsi"/>
          <w:color w:val="000000" w:themeColor="text1"/>
        </w:rPr>
        <w:footnoteReference w:id="18"/>
      </w:r>
      <w:bookmarkEnd w:id="24"/>
      <w:r w:rsidRPr="002031C6">
        <w:rPr>
          <w:rFonts w:cstheme="minorHAnsi"/>
          <w:color w:val="000000" w:themeColor="text1"/>
        </w:rPr>
        <w:t xml:space="preserve"> and proposes the following modified Item descriptor.</w:t>
      </w:r>
    </w:p>
    <w:p w14:paraId="348F1568" w14:textId="67E48ADA" w:rsidR="00762925" w:rsidRPr="003340A8" w:rsidRDefault="00762925" w:rsidP="00762925">
      <w:pPr>
        <w:pStyle w:val="Caption"/>
      </w:pPr>
      <w:r w:rsidRPr="003340A8">
        <w:t xml:space="preserve">Table </w:t>
      </w:r>
      <w:fldSimple w:instr=" SEQ Table \* ARABIC ">
        <w:r w:rsidR="00C00851">
          <w:rPr>
            <w:noProof/>
          </w:rPr>
          <w:t>4</w:t>
        </w:r>
      </w:fldSimple>
      <w:r w:rsidRPr="003340A8">
        <w:t xml:space="preserve"> HTA</w:t>
      </w:r>
      <w:r>
        <w:t xml:space="preserve"> group’s </w:t>
      </w:r>
      <w:r w:rsidRPr="003340A8">
        <w:t xml:space="preserve">proposed MBS </w:t>
      </w:r>
      <w:r>
        <w:t>i</w:t>
      </w:r>
      <w:r w:rsidRPr="003340A8">
        <w:t>tem</w:t>
      </w:r>
      <w:r>
        <w:t xml:space="preserve"> descriptor</w:t>
      </w:r>
    </w:p>
    <w:tbl>
      <w:tblPr>
        <w:tblStyle w:val="TableGrid1"/>
        <w:tblW w:w="0" w:type="auto"/>
        <w:tblInd w:w="113" w:type="dxa"/>
        <w:tblLook w:val="04A0" w:firstRow="1" w:lastRow="0" w:firstColumn="1" w:lastColumn="0" w:noHBand="0" w:noVBand="1"/>
        <w:tblDescription w:val="HTA group’s proposed MBS item descriptor"/>
      </w:tblPr>
      <w:tblGrid>
        <w:gridCol w:w="8903"/>
      </w:tblGrid>
      <w:tr w:rsidR="00762925" w:rsidRPr="003340A8" w14:paraId="3D0B099C" w14:textId="77777777" w:rsidTr="00300F47">
        <w:trPr>
          <w:cnfStyle w:val="100000000000" w:firstRow="1" w:lastRow="0" w:firstColumn="0" w:lastColumn="0" w:oddVBand="0" w:evenVBand="0" w:oddHBand="0" w:evenHBand="0" w:firstRowFirstColumn="0" w:firstRowLastColumn="0" w:lastRowFirstColumn="0" w:lastRowLastColumn="0"/>
          <w:cantSplit/>
          <w:trHeight w:val="478"/>
        </w:trPr>
        <w:tc>
          <w:tcPr>
            <w:tcW w:w="8903" w:type="dxa"/>
          </w:tcPr>
          <w:p w14:paraId="703504EE" w14:textId="77777777" w:rsidR="00762925" w:rsidRPr="003340A8" w:rsidRDefault="00762925" w:rsidP="001315CE">
            <w:pPr>
              <w:pStyle w:val="TableHeading0"/>
              <w:jc w:val="right"/>
            </w:pPr>
            <w:r w:rsidRPr="003340A8">
              <w:t>Category 6 –</w:t>
            </w:r>
            <w:r>
              <w:t xml:space="preserve"> </w:t>
            </w:r>
            <w:r w:rsidRPr="003340A8">
              <w:t>Genetics P7</w:t>
            </w:r>
          </w:p>
        </w:tc>
      </w:tr>
      <w:tr w:rsidR="00762925" w14:paraId="6E1F0F28" w14:textId="77777777" w:rsidTr="00300F47">
        <w:trPr>
          <w:cantSplit/>
          <w:trHeight w:val="2932"/>
        </w:trPr>
        <w:tc>
          <w:tcPr>
            <w:tcW w:w="8903" w:type="dxa"/>
            <w:hideMark/>
          </w:tcPr>
          <w:p w14:paraId="6B7C75EB" w14:textId="77777777" w:rsidR="00762925" w:rsidRPr="003340A8" w:rsidRDefault="00762925" w:rsidP="001315CE">
            <w:pPr>
              <w:widowControl w:val="0"/>
              <w:suppressAutoHyphens/>
              <w:rPr>
                <w:rFonts w:ascii="Arial Narrow" w:hAnsi="Arial Narrow"/>
                <w:i/>
                <w:iCs/>
                <w:sz w:val="20"/>
                <w:szCs w:val="20"/>
              </w:rPr>
            </w:pPr>
            <w:r w:rsidRPr="003340A8">
              <w:rPr>
                <w:rFonts w:ascii="Arial Narrow" w:hAnsi="Arial Narrow"/>
                <w:color w:val="000000"/>
                <w:sz w:val="20"/>
                <w:szCs w:val="20"/>
              </w:rPr>
              <w:t xml:space="preserve">Characterisation of variants </w:t>
            </w:r>
            <w:r>
              <w:rPr>
                <w:rFonts w:ascii="Arial Narrow" w:hAnsi="Arial Narrow"/>
                <w:color w:val="000000"/>
                <w:sz w:val="20"/>
                <w:szCs w:val="20"/>
              </w:rPr>
              <w:t>including simple gene variants, structural variants and copy number alterations</w:t>
            </w:r>
            <w:r w:rsidRPr="003340A8">
              <w:rPr>
                <w:rFonts w:ascii="Arial Narrow" w:hAnsi="Arial Narrow"/>
                <w:color w:val="000000"/>
                <w:sz w:val="20"/>
                <w:szCs w:val="20"/>
              </w:rPr>
              <w:t xml:space="preserve"> in</w:t>
            </w:r>
            <w:r>
              <w:rPr>
                <w:rFonts w:ascii="Arial Narrow" w:hAnsi="Arial Narrow"/>
                <w:color w:val="000000"/>
                <w:sz w:val="20"/>
                <w:szCs w:val="20"/>
              </w:rPr>
              <w:t xml:space="preserve"> a single gene panel in</w:t>
            </w:r>
            <w:r w:rsidRPr="003340A8">
              <w:rPr>
                <w:rFonts w:ascii="Arial Narrow" w:hAnsi="Arial Narrow"/>
                <w:color w:val="000000"/>
                <w:sz w:val="20"/>
                <w:szCs w:val="20"/>
              </w:rPr>
              <w:t xml:space="preserve"> the diagnostic work-up by the pathologist, specialist or consultant physician, of a patient with clinical or laboratory evidence of </w:t>
            </w:r>
            <w:r>
              <w:rPr>
                <w:rFonts w:ascii="Arial Narrow" w:hAnsi="Arial Narrow"/>
                <w:color w:val="000000"/>
                <w:sz w:val="20"/>
                <w:szCs w:val="20"/>
              </w:rPr>
              <w:t xml:space="preserve">a </w:t>
            </w:r>
            <w:r w:rsidRPr="003340A8">
              <w:rPr>
                <w:rFonts w:ascii="Arial Narrow" w:hAnsi="Arial Narrow"/>
                <w:color w:val="000000"/>
                <w:sz w:val="20"/>
                <w:szCs w:val="20"/>
              </w:rPr>
              <w:t xml:space="preserve">glioma, glioneuronal tumour or glioblastoma to aid </w:t>
            </w:r>
            <w:r>
              <w:rPr>
                <w:rFonts w:ascii="Arial Narrow" w:hAnsi="Arial Narrow"/>
                <w:color w:val="000000"/>
                <w:sz w:val="20"/>
                <w:szCs w:val="20"/>
              </w:rPr>
              <w:t>diagnosis (</w:t>
            </w:r>
            <w:r w:rsidRPr="003340A8">
              <w:rPr>
                <w:rFonts w:ascii="Arial Narrow" w:hAnsi="Arial Narrow"/>
                <w:color w:val="000000"/>
                <w:sz w:val="20"/>
                <w:szCs w:val="20"/>
              </w:rPr>
              <w:t>classification by the current WHO criteria</w:t>
            </w:r>
            <w:r>
              <w:rPr>
                <w:rFonts w:ascii="Arial Narrow" w:hAnsi="Arial Narrow"/>
                <w:color w:val="000000"/>
                <w:sz w:val="20"/>
                <w:szCs w:val="20"/>
              </w:rPr>
              <w:t>) and management</w:t>
            </w:r>
            <w:r w:rsidRPr="003340A8">
              <w:rPr>
                <w:rFonts w:ascii="Arial Narrow" w:hAnsi="Arial Narrow"/>
                <w:color w:val="000000"/>
                <w:sz w:val="20"/>
                <w:szCs w:val="20"/>
              </w:rPr>
              <w:t>, including but not limited to:</w:t>
            </w:r>
            <w:r w:rsidRPr="003340A8">
              <w:rPr>
                <w:color w:val="000000"/>
                <w:sz w:val="20"/>
                <w:szCs w:val="20"/>
              </w:rPr>
              <w:t xml:space="preserve"> </w:t>
            </w:r>
          </w:p>
          <w:p w14:paraId="20C4A6D1" w14:textId="77777777" w:rsidR="00762925" w:rsidRDefault="00762925" w:rsidP="00762925">
            <w:pPr>
              <w:pStyle w:val="ListParagraph"/>
              <w:widowControl w:val="0"/>
              <w:numPr>
                <w:ilvl w:val="0"/>
                <w:numId w:val="19"/>
              </w:numPr>
              <w:suppressAutoHyphens/>
              <w:rPr>
                <w:rFonts w:ascii="Arial Narrow" w:hAnsi="Arial Narrow"/>
                <w:sz w:val="20"/>
                <w:szCs w:val="20"/>
              </w:rPr>
            </w:pPr>
            <w:r w:rsidRPr="00D07CE7">
              <w:rPr>
                <w:rFonts w:ascii="Arial Narrow" w:hAnsi="Arial Narrow"/>
                <w:i/>
                <w:iCs/>
                <w:sz w:val="20"/>
                <w:szCs w:val="20"/>
              </w:rPr>
              <w:t>IDH1, IDH2</w:t>
            </w:r>
            <w:r w:rsidRPr="00D07CE7">
              <w:rPr>
                <w:rFonts w:ascii="Arial Narrow" w:hAnsi="Arial Narrow"/>
                <w:sz w:val="20"/>
                <w:szCs w:val="20"/>
              </w:rPr>
              <w:t xml:space="preserve"> variant testing</w:t>
            </w:r>
          </w:p>
          <w:p w14:paraId="33406FE0" w14:textId="77777777" w:rsidR="00762925" w:rsidRDefault="00762925" w:rsidP="00762925">
            <w:pPr>
              <w:pStyle w:val="ListParagraph"/>
              <w:widowControl w:val="0"/>
              <w:numPr>
                <w:ilvl w:val="0"/>
                <w:numId w:val="19"/>
              </w:numPr>
              <w:suppressAutoHyphens/>
              <w:rPr>
                <w:rFonts w:ascii="Arial Narrow" w:hAnsi="Arial Narrow"/>
                <w:sz w:val="20"/>
                <w:szCs w:val="20"/>
              </w:rPr>
            </w:pPr>
            <w:r w:rsidRPr="00D07CE7">
              <w:rPr>
                <w:rFonts w:ascii="Arial Narrow" w:hAnsi="Arial Narrow"/>
                <w:sz w:val="20"/>
                <w:szCs w:val="20"/>
              </w:rPr>
              <w:t>1p/19q co-deletion assessment</w:t>
            </w:r>
          </w:p>
          <w:p w14:paraId="4A10B6F2" w14:textId="77777777" w:rsidR="00762925" w:rsidRDefault="00762925" w:rsidP="00762925">
            <w:pPr>
              <w:pStyle w:val="ListParagraph"/>
              <w:widowControl w:val="0"/>
              <w:numPr>
                <w:ilvl w:val="0"/>
                <w:numId w:val="19"/>
              </w:numPr>
              <w:suppressAutoHyphens/>
              <w:rPr>
                <w:rFonts w:ascii="Arial Narrow" w:hAnsi="Arial Narrow"/>
                <w:sz w:val="20"/>
                <w:szCs w:val="20"/>
              </w:rPr>
            </w:pPr>
            <w:r w:rsidRPr="00D07CE7">
              <w:rPr>
                <w:rFonts w:ascii="Arial Narrow" w:hAnsi="Arial Narrow"/>
                <w:i/>
                <w:sz w:val="20"/>
                <w:szCs w:val="20"/>
              </w:rPr>
              <w:t>H3F3A</w:t>
            </w:r>
            <w:r w:rsidRPr="00D07CE7">
              <w:rPr>
                <w:rFonts w:ascii="Arial Narrow" w:hAnsi="Arial Narrow"/>
                <w:sz w:val="20"/>
                <w:szCs w:val="20"/>
              </w:rPr>
              <w:t xml:space="preserve"> K27 and </w:t>
            </w:r>
            <w:r w:rsidRPr="00D07CE7">
              <w:rPr>
                <w:rFonts w:ascii="Arial Narrow" w:hAnsi="Arial Narrow"/>
                <w:i/>
                <w:sz w:val="20"/>
                <w:szCs w:val="20"/>
              </w:rPr>
              <w:t>H3F3A</w:t>
            </w:r>
            <w:r w:rsidRPr="00D07CE7">
              <w:rPr>
                <w:rFonts w:ascii="Arial Narrow" w:hAnsi="Arial Narrow"/>
                <w:sz w:val="20"/>
                <w:szCs w:val="20"/>
              </w:rPr>
              <w:t xml:space="preserve"> G34 </w:t>
            </w:r>
            <w:r>
              <w:rPr>
                <w:rFonts w:ascii="Arial Narrow" w:hAnsi="Arial Narrow"/>
                <w:sz w:val="20"/>
                <w:szCs w:val="20"/>
              </w:rPr>
              <w:t>variant</w:t>
            </w:r>
            <w:r w:rsidRPr="00D07CE7">
              <w:rPr>
                <w:rFonts w:ascii="Arial Narrow" w:hAnsi="Arial Narrow"/>
                <w:sz w:val="20"/>
                <w:szCs w:val="20"/>
              </w:rPr>
              <w:t xml:space="preserve"> status</w:t>
            </w:r>
          </w:p>
          <w:p w14:paraId="7E474232" w14:textId="77777777" w:rsidR="00762925" w:rsidRDefault="00762925" w:rsidP="00762925">
            <w:pPr>
              <w:pStyle w:val="ListParagraph"/>
              <w:widowControl w:val="0"/>
              <w:numPr>
                <w:ilvl w:val="0"/>
                <w:numId w:val="19"/>
              </w:numPr>
              <w:suppressAutoHyphens/>
              <w:rPr>
                <w:rFonts w:ascii="Arial Narrow" w:hAnsi="Arial Narrow"/>
                <w:sz w:val="20"/>
                <w:szCs w:val="20"/>
              </w:rPr>
            </w:pPr>
            <w:r w:rsidRPr="00D07CE7">
              <w:rPr>
                <w:rFonts w:ascii="Arial Narrow" w:hAnsi="Arial Narrow"/>
                <w:i/>
                <w:iCs/>
                <w:sz w:val="20"/>
                <w:szCs w:val="20"/>
              </w:rPr>
              <w:t>TERT</w:t>
            </w:r>
            <w:r w:rsidRPr="00D07CE7">
              <w:rPr>
                <w:rFonts w:ascii="Arial Narrow" w:hAnsi="Arial Narrow"/>
                <w:sz w:val="20"/>
                <w:szCs w:val="20"/>
              </w:rPr>
              <w:t xml:space="preserve"> promoter mutation status</w:t>
            </w:r>
          </w:p>
          <w:p w14:paraId="0EC361AB" w14:textId="77777777" w:rsidR="00762925" w:rsidRDefault="00762925" w:rsidP="00762925">
            <w:pPr>
              <w:pStyle w:val="ListParagraph"/>
              <w:widowControl w:val="0"/>
              <w:numPr>
                <w:ilvl w:val="0"/>
                <w:numId w:val="19"/>
              </w:numPr>
              <w:suppressAutoHyphens/>
              <w:rPr>
                <w:rFonts w:ascii="Arial Narrow" w:hAnsi="Arial Narrow"/>
                <w:sz w:val="20"/>
                <w:szCs w:val="20"/>
              </w:rPr>
            </w:pPr>
            <w:r w:rsidRPr="00D07CE7">
              <w:rPr>
                <w:rFonts w:ascii="Arial Narrow" w:hAnsi="Arial Narrow"/>
                <w:i/>
                <w:iCs/>
                <w:sz w:val="20"/>
                <w:szCs w:val="20"/>
              </w:rPr>
              <w:t>EGFR</w:t>
            </w:r>
            <w:r w:rsidRPr="00D07CE7">
              <w:rPr>
                <w:rFonts w:ascii="Arial Narrow" w:hAnsi="Arial Narrow"/>
                <w:sz w:val="20"/>
                <w:szCs w:val="20"/>
              </w:rPr>
              <w:t xml:space="preserve"> amplification</w:t>
            </w:r>
          </w:p>
          <w:p w14:paraId="78868701" w14:textId="77777777" w:rsidR="00762925" w:rsidRDefault="00762925" w:rsidP="00762925">
            <w:pPr>
              <w:pStyle w:val="ListParagraph"/>
              <w:widowControl w:val="0"/>
              <w:numPr>
                <w:ilvl w:val="0"/>
                <w:numId w:val="19"/>
              </w:numPr>
              <w:suppressAutoHyphens/>
              <w:rPr>
                <w:rFonts w:ascii="Arial Narrow" w:hAnsi="Arial Narrow"/>
                <w:sz w:val="20"/>
                <w:szCs w:val="20"/>
              </w:rPr>
            </w:pPr>
            <w:r w:rsidRPr="00D07CE7">
              <w:rPr>
                <w:rFonts w:ascii="Arial Narrow" w:hAnsi="Arial Narrow"/>
                <w:i/>
                <w:sz w:val="20"/>
                <w:szCs w:val="20"/>
              </w:rPr>
              <w:t>CDKN2A/B</w:t>
            </w:r>
            <w:r w:rsidRPr="00D07CE7">
              <w:rPr>
                <w:rFonts w:ascii="Arial Narrow" w:hAnsi="Arial Narrow"/>
                <w:sz w:val="20"/>
                <w:szCs w:val="20"/>
              </w:rPr>
              <w:t xml:space="preserve"> deletion</w:t>
            </w:r>
          </w:p>
          <w:p w14:paraId="5BF61FCE" w14:textId="77777777" w:rsidR="00762925" w:rsidRPr="00D07CE7" w:rsidRDefault="00762925" w:rsidP="00762925">
            <w:pPr>
              <w:pStyle w:val="ListParagraph"/>
              <w:widowControl w:val="0"/>
              <w:numPr>
                <w:ilvl w:val="0"/>
                <w:numId w:val="19"/>
              </w:numPr>
              <w:suppressAutoHyphens/>
              <w:rPr>
                <w:rFonts w:ascii="Arial Narrow" w:hAnsi="Arial Narrow"/>
                <w:sz w:val="20"/>
                <w:szCs w:val="20"/>
              </w:rPr>
            </w:pPr>
            <w:r w:rsidRPr="00D07CE7">
              <w:rPr>
                <w:rFonts w:ascii="Arial Narrow" w:hAnsi="Arial Narrow"/>
                <w:i/>
                <w:sz w:val="20"/>
                <w:szCs w:val="20"/>
              </w:rPr>
              <w:t>BRAF</w:t>
            </w:r>
            <w:r w:rsidRPr="00D07CE7">
              <w:rPr>
                <w:rFonts w:ascii="Arial Narrow" w:hAnsi="Arial Narrow"/>
                <w:sz w:val="20"/>
                <w:szCs w:val="20"/>
              </w:rPr>
              <w:t xml:space="preserve"> </w:t>
            </w:r>
            <w:r>
              <w:rPr>
                <w:rFonts w:ascii="Arial Narrow" w:hAnsi="Arial Narrow"/>
                <w:sz w:val="20"/>
                <w:szCs w:val="20"/>
              </w:rPr>
              <w:t>variant</w:t>
            </w:r>
            <w:r w:rsidRPr="00D07CE7">
              <w:rPr>
                <w:rFonts w:ascii="Arial Narrow" w:hAnsi="Arial Narrow"/>
                <w:sz w:val="20"/>
                <w:szCs w:val="20"/>
              </w:rPr>
              <w:t xml:space="preserve"> status.</w:t>
            </w:r>
          </w:p>
          <w:p w14:paraId="0C2F1827" w14:textId="77777777" w:rsidR="00762925" w:rsidRPr="003340A8" w:rsidRDefault="00762925" w:rsidP="001315CE">
            <w:pPr>
              <w:rPr>
                <w:rFonts w:ascii="Arial Narrow" w:hAnsi="Arial Narrow"/>
                <w:sz w:val="20"/>
                <w:szCs w:val="20"/>
              </w:rPr>
            </w:pPr>
            <w:r w:rsidRPr="003340A8">
              <w:rPr>
                <w:rFonts w:ascii="Arial Narrow" w:hAnsi="Arial Narrow"/>
                <w:sz w:val="20"/>
                <w:szCs w:val="20"/>
              </w:rPr>
              <w:t xml:space="preserve">Maximum one test per </w:t>
            </w:r>
            <w:r>
              <w:rPr>
                <w:rFonts w:ascii="Arial Narrow" w:hAnsi="Arial Narrow"/>
                <w:sz w:val="20"/>
                <w:szCs w:val="20"/>
              </w:rPr>
              <w:t>diagnostic episode</w:t>
            </w:r>
          </w:p>
          <w:p w14:paraId="05BE3C61" w14:textId="77777777" w:rsidR="00762925" w:rsidRPr="003340A8" w:rsidRDefault="00762925" w:rsidP="001315CE">
            <w:pPr>
              <w:rPr>
                <w:rFonts w:ascii="Arial Narrow" w:hAnsi="Arial Narrow"/>
              </w:rPr>
            </w:pPr>
            <w:r w:rsidRPr="003340A8">
              <w:rPr>
                <w:rFonts w:ascii="Arial Narrow" w:hAnsi="Arial Narrow"/>
                <w:sz w:val="20"/>
                <w:szCs w:val="20"/>
              </w:rPr>
              <w:t>Fee:</w:t>
            </w:r>
            <w:r>
              <w:rPr>
                <w:rFonts w:ascii="Arial Narrow" w:hAnsi="Arial Narrow"/>
                <w:sz w:val="20"/>
                <w:szCs w:val="20"/>
              </w:rPr>
              <w:t xml:space="preserve"> </w:t>
            </w:r>
            <w:r w:rsidRPr="003340A8">
              <w:rPr>
                <w:rFonts w:ascii="Arial Narrow" w:hAnsi="Arial Narrow"/>
                <w:sz w:val="20"/>
                <w:szCs w:val="20"/>
              </w:rPr>
              <w:t>$800; Benefit: 75%= $525, 85%= $</w:t>
            </w:r>
            <w:r>
              <w:rPr>
                <w:rFonts w:ascii="Arial Narrow" w:hAnsi="Arial Narrow"/>
                <w:sz w:val="20"/>
                <w:szCs w:val="20"/>
              </w:rPr>
              <w:t>712.10</w:t>
            </w:r>
          </w:p>
        </w:tc>
      </w:tr>
    </w:tbl>
    <w:p w14:paraId="6464BDC1" w14:textId="51F2DD7C" w:rsidR="00300F47" w:rsidRDefault="00300F47" w:rsidP="00300F47">
      <w:pPr>
        <w:pStyle w:val="TableFooter"/>
      </w:pPr>
      <w:r>
        <w:t>Source: DCAR Table 3.</w:t>
      </w:r>
    </w:p>
    <w:p w14:paraId="38955B08" w14:textId="77777777" w:rsidR="00762925" w:rsidRPr="00CE01C9" w:rsidRDefault="00762925" w:rsidP="00762925">
      <w:pPr>
        <w:pStyle w:val="Instructionaltext-afterfiguretable"/>
        <w:jc w:val="both"/>
        <w:rPr>
          <w:rFonts w:cstheme="minorHAnsi"/>
          <w:color w:val="000000" w:themeColor="text1"/>
        </w:rPr>
      </w:pPr>
      <w:r w:rsidRPr="00CE01C9">
        <w:rPr>
          <w:rFonts w:cstheme="minorHAnsi"/>
          <w:color w:val="000000" w:themeColor="text1"/>
        </w:rPr>
        <w:t xml:space="preserve">This test </w:t>
      </w:r>
      <w:r>
        <w:rPr>
          <w:rFonts w:cstheme="minorHAnsi"/>
          <w:color w:val="000000" w:themeColor="text1"/>
        </w:rPr>
        <w:t xml:space="preserve">has </w:t>
      </w:r>
      <w:r w:rsidRPr="00CE01C9">
        <w:rPr>
          <w:rFonts w:cstheme="minorHAnsi"/>
          <w:color w:val="000000" w:themeColor="text1"/>
        </w:rPr>
        <w:t>diagnostic</w:t>
      </w:r>
      <w:r>
        <w:rPr>
          <w:rFonts w:cstheme="minorHAnsi"/>
          <w:color w:val="000000" w:themeColor="text1"/>
        </w:rPr>
        <w:t xml:space="preserve">, </w:t>
      </w:r>
      <w:r w:rsidRPr="00CE01C9">
        <w:rPr>
          <w:rFonts w:cstheme="minorHAnsi"/>
          <w:color w:val="000000" w:themeColor="text1"/>
        </w:rPr>
        <w:t xml:space="preserve">prognostic and predictive clinical utility – as such, </w:t>
      </w:r>
      <w:r>
        <w:rPr>
          <w:rFonts w:cstheme="minorHAnsi"/>
          <w:color w:val="000000" w:themeColor="text1"/>
        </w:rPr>
        <w:t xml:space="preserve">the HTA group proposes </w:t>
      </w:r>
      <w:r w:rsidRPr="00CE01C9">
        <w:rPr>
          <w:rFonts w:cstheme="minorHAnsi"/>
          <w:color w:val="000000" w:themeColor="text1"/>
        </w:rPr>
        <w:t>it should be pathologist-determinable because it is embedded within a diagnostic testing algorithm, with the preceding tests determining whether it is required and what diagnostic uncertainty is resolved. This would be consistent with the NHS</w:t>
      </w:r>
      <w:r>
        <w:rPr>
          <w:rFonts w:cstheme="minorHAnsi"/>
          <w:color w:val="000000" w:themeColor="text1"/>
        </w:rPr>
        <w:t>E</w:t>
      </w:r>
      <w:r w:rsidRPr="00CE01C9">
        <w:rPr>
          <w:rFonts w:cstheme="minorHAnsi"/>
          <w:color w:val="000000" w:themeColor="text1"/>
        </w:rPr>
        <w:t xml:space="preserve"> National Genomic Test Directory approach for CNS tumours. There </w:t>
      </w:r>
      <w:r>
        <w:rPr>
          <w:rFonts w:cstheme="minorHAnsi"/>
          <w:color w:val="000000" w:themeColor="text1"/>
        </w:rPr>
        <w:t>will</w:t>
      </w:r>
      <w:r w:rsidRPr="00CE01C9">
        <w:rPr>
          <w:rFonts w:cstheme="minorHAnsi"/>
          <w:color w:val="000000" w:themeColor="text1"/>
        </w:rPr>
        <w:t xml:space="preserve"> also be requests from clinicians, seeking a review of existing cases or those investigated where these tests were not available.</w:t>
      </w:r>
    </w:p>
    <w:p w14:paraId="54D21227" w14:textId="77777777" w:rsidR="00762925" w:rsidRPr="00CE01C9" w:rsidRDefault="00762925" w:rsidP="00762925">
      <w:pPr>
        <w:pStyle w:val="Instructionaltext"/>
        <w:jc w:val="both"/>
        <w:rPr>
          <w:rFonts w:cstheme="minorHAnsi"/>
        </w:rPr>
      </w:pPr>
      <w:r w:rsidRPr="00CE01C9">
        <w:rPr>
          <w:rFonts w:cstheme="minorHAnsi"/>
          <w:color w:val="000000" w:themeColor="text1"/>
        </w:rPr>
        <w:t>The test will need to be provided within laboratories with NATA accreditation</w:t>
      </w:r>
      <w:r>
        <w:rPr>
          <w:rFonts w:cstheme="minorHAnsi"/>
          <w:color w:val="000000" w:themeColor="text1"/>
        </w:rPr>
        <w:t>, and specialist neuro-oncology expertise</w:t>
      </w:r>
      <w:r>
        <w:rPr>
          <w:rStyle w:val="FootnoteReference"/>
          <w:rFonts w:cstheme="minorHAnsi"/>
          <w:color w:val="000000" w:themeColor="text1"/>
        </w:rPr>
        <w:footnoteReference w:id="19"/>
      </w:r>
      <w:r>
        <w:rPr>
          <w:rFonts w:cstheme="minorHAnsi"/>
          <w:color w:val="000000" w:themeColor="text1"/>
        </w:rPr>
        <w:t>.</w:t>
      </w:r>
    </w:p>
    <w:p w14:paraId="1A0F509D" w14:textId="125908E9" w:rsidR="00762925" w:rsidRPr="006B13B5" w:rsidRDefault="00762925" w:rsidP="00762925">
      <w:pPr>
        <w:pStyle w:val="Instructionaltext"/>
        <w:jc w:val="both"/>
        <w:rPr>
          <w:rFonts w:cstheme="minorHAnsi"/>
          <w:color w:val="000000" w:themeColor="text1"/>
        </w:rPr>
      </w:pPr>
      <w:r w:rsidRPr="00CE01C9">
        <w:rPr>
          <w:rFonts w:cstheme="minorHAnsi"/>
          <w:color w:val="000000" w:themeColor="text1"/>
        </w:rPr>
        <w:lastRenderedPageBreak/>
        <w:t xml:space="preserve">Currently available testing with glioma panels </w:t>
      </w:r>
      <w:r>
        <w:rPr>
          <w:rFonts w:cstheme="minorHAnsi"/>
          <w:color w:val="000000" w:themeColor="text1"/>
        </w:rPr>
        <w:t xml:space="preserve">in Australia besides the Royal Prince Alfred Hospital gene </w:t>
      </w:r>
      <w:r w:rsidRPr="006B13B5">
        <w:rPr>
          <w:rFonts w:cstheme="minorHAnsi"/>
          <w:color w:val="000000" w:themeColor="text1"/>
        </w:rPr>
        <w:t>panel:</w:t>
      </w:r>
    </w:p>
    <w:p w14:paraId="589466D5" w14:textId="77777777" w:rsidR="00762925" w:rsidRPr="002320E6" w:rsidRDefault="00762925" w:rsidP="00762925">
      <w:pPr>
        <w:pStyle w:val="ListParagraph"/>
        <w:numPr>
          <w:ilvl w:val="0"/>
          <w:numId w:val="18"/>
        </w:numPr>
      </w:pPr>
      <w:r w:rsidRPr="002320E6">
        <w:rPr>
          <w:rFonts w:cstheme="minorHAnsi"/>
        </w:rPr>
        <w:t xml:space="preserve">Sonic Genetics </w:t>
      </w:r>
      <w:r w:rsidRPr="00FB124D">
        <w:rPr>
          <w:shd w:val="clear" w:color="auto" w:fill="FFFFFF"/>
        </w:rPr>
        <w:t>Glioma panel</w:t>
      </w:r>
      <w:r w:rsidRPr="00FB124D">
        <w:rPr>
          <w:rStyle w:val="FootnoteReference"/>
          <w:shd w:val="clear" w:color="auto" w:fill="FFFFFF"/>
        </w:rPr>
        <w:footnoteReference w:id="20"/>
      </w:r>
      <w:r w:rsidRPr="00FB124D">
        <w:rPr>
          <w:shd w:val="clear" w:color="auto" w:fill="FFFFFF"/>
        </w:rPr>
        <w:t xml:space="preserve">: </w:t>
      </w:r>
      <w:r w:rsidRPr="00FB124D">
        <w:rPr>
          <w:i/>
          <w:iCs/>
          <w:shd w:val="clear" w:color="auto" w:fill="FFFFFF"/>
        </w:rPr>
        <w:t>BRAF, IDH1, IDH2, TP53</w:t>
      </w:r>
      <w:r w:rsidRPr="00FB124D">
        <w:rPr>
          <w:shd w:val="clear" w:color="auto" w:fill="FFFFFF"/>
        </w:rPr>
        <w:t xml:space="preserve"> with additional 1p/19q co-deletion status able to be determined by FISH in a putative oligodendroglioma - $350</w:t>
      </w:r>
    </w:p>
    <w:p w14:paraId="5039E460" w14:textId="77777777" w:rsidR="00762925" w:rsidRPr="002320E6" w:rsidRDefault="00762925" w:rsidP="00762925">
      <w:pPr>
        <w:pStyle w:val="ListParagraph"/>
        <w:numPr>
          <w:ilvl w:val="0"/>
          <w:numId w:val="18"/>
        </w:numPr>
      </w:pPr>
      <w:r w:rsidRPr="002320E6">
        <w:t xml:space="preserve">Genomics for Life Pty Ltd (Qld) Comprehensive </w:t>
      </w:r>
      <w:r w:rsidRPr="002320E6">
        <w:rPr>
          <w:i/>
          <w:iCs/>
        </w:rPr>
        <w:t>Plus</w:t>
      </w:r>
      <w:r w:rsidRPr="002320E6">
        <w:t xml:space="preserve"> Solid Tumour Analysis</w:t>
      </w:r>
      <w:r w:rsidRPr="002320E6">
        <w:rPr>
          <w:rStyle w:val="FootnoteReference"/>
        </w:rPr>
        <w:footnoteReference w:id="21"/>
      </w:r>
      <w:r w:rsidRPr="002320E6">
        <w:t>: 500 genes – unable to locate list of genes or a cost on the website</w:t>
      </w:r>
    </w:p>
    <w:p w14:paraId="57FB1F66" w14:textId="1F176D75" w:rsidR="00762925" w:rsidRPr="00CE28E3" w:rsidRDefault="00F94444" w:rsidP="00762925">
      <w:pPr>
        <w:pStyle w:val="Heading2"/>
        <w:numPr>
          <w:ilvl w:val="0"/>
          <w:numId w:val="0"/>
        </w:numPr>
      </w:pPr>
      <w:bookmarkStart w:id="25" w:name="_Toc97723466"/>
      <w:r>
        <w:t>7</w:t>
      </w:r>
      <w:r w:rsidR="00762925">
        <w:t>.</w:t>
      </w:r>
      <w:r w:rsidR="00762925">
        <w:tab/>
      </w:r>
      <w:r w:rsidR="00762925" w:rsidRPr="00CE28E3">
        <w:t>Population</w:t>
      </w:r>
      <w:bookmarkEnd w:id="25"/>
      <w:r w:rsidR="00762925" w:rsidRPr="00CE28E3">
        <w:t xml:space="preserve"> </w:t>
      </w:r>
    </w:p>
    <w:p w14:paraId="57F074CE" w14:textId="77777777" w:rsidR="00762925" w:rsidRPr="00097486" w:rsidRDefault="00762925" w:rsidP="00762925">
      <w:pPr>
        <w:pStyle w:val="Guidelinescross-ref"/>
        <w:rPr>
          <w:rFonts w:cstheme="minorHAnsi"/>
          <w:b w:val="0"/>
          <w:bCs/>
          <w:color w:val="000000" w:themeColor="text1"/>
          <w:sz w:val="22"/>
        </w:rPr>
      </w:pPr>
      <w:r w:rsidRPr="00097486">
        <w:rPr>
          <w:rFonts w:cstheme="minorHAnsi"/>
          <w:b w:val="0"/>
          <w:bCs/>
          <w:color w:val="000000" w:themeColor="text1"/>
          <w:sz w:val="22"/>
        </w:rPr>
        <w:t>This application was not considered by PASC.</w:t>
      </w:r>
    </w:p>
    <w:p w14:paraId="3EBDDA21" w14:textId="77777777" w:rsidR="00762925" w:rsidRDefault="00762925" w:rsidP="00762925">
      <w:pPr>
        <w:pStyle w:val="Instructionaltext"/>
        <w:jc w:val="both"/>
        <w:rPr>
          <w:color w:val="000000" w:themeColor="text1"/>
        </w:rPr>
      </w:pPr>
      <w:r w:rsidRPr="00B91DC8">
        <w:rPr>
          <w:color w:val="000000" w:themeColor="text1"/>
        </w:rPr>
        <w:t>The target population(s) likely to receive testing with the Glioma Panel if it is publicly funded</w:t>
      </w:r>
      <w:r>
        <w:rPr>
          <w:color w:val="000000" w:themeColor="text1"/>
        </w:rPr>
        <w:t xml:space="preserve"> via the MBS</w:t>
      </w:r>
      <w:r w:rsidRPr="00B91DC8">
        <w:rPr>
          <w:color w:val="000000" w:themeColor="text1"/>
        </w:rPr>
        <w:t xml:space="preserve">, are </w:t>
      </w:r>
      <w:r>
        <w:rPr>
          <w:color w:val="000000" w:themeColor="text1"/>
        </w:rPr>
        <w:t>patients</w:t>
      </w:r>
      <w:r w:rsidRPr="00B91DC8">
        <w:rPr>
          <w:color w:val="000000" w:themeColor="text1"/>
        </w:rPr>
        <w:t xml:space="preserve"> who have been initially identified as </w:t>
      </w:r>
      <w:r>
        <w:rPr>
          <w:color w:val="000000" w:themeColor="text1"/>
        </w:rPr>
        <w:t>likely to have</w:t>
      </w:r>
      <w:r w:rsidRPr="00B91DC8">
        <w:rPr>
          <w:color w:val="000000" w:themeColor="text1"/>
        </w:rPr>
        <w:t xml:space="preserve"> a glioma</w:t>
      </w:r>
      <w:r>
        <w:rPr>
          <w:color w:val="000000" w:themeColor="text1"/>
        </w:rPr>
        <w:t xml:space="preserve">, excluding those with an IDH-wildtype </w:t>
      </w:r>
      <w:r w:rsidRPr="00B91DC8">
        <w:rPr>
          <w:color w:val="000000" w:themeColor="text1"/>
        </w:rPr>
        <w:t>glioblastoma</w:t>
      </w:r>
      <w:r>
        <w:rPr>
          <w:color w:val="000000" w:themeColor="text1"/>
        </w:rPr>
        <w:t xml:space="preserve"> where a diagnosis can be made based on</w:t>
      </w:r>
      <w:r w:rsidRPr="009F4622">
        <w:rPr>
          <w:i/>
          <w:iCs/>
          <w:color w:val="000000" w:themeColor="text1"/>
        </w:rPr>
        <w:t xml:space="preserve"> </w:t>
      </w:r>
      <w:r w:rsidRPr="00021DE5">
        <w:rPr>
          <w:color w:val="000000" w:themeColor="text1"/>
        </w:rPr>
        <w:t>IDH1</w:t>
      </w:r>
      <w:r>
        <w:rPr>
          <w:color w:val="000000" w:themeColor="text1"/>
        </w:rPr>
        <w:t xml:space="preserve"> IHC testing, morphological and histological analysis and clinical factors such as age, tumour location.</w:t>
      </w:r>
      <w:r w:rsidRPr="00B91DC8">
        <w:rPr>
          <w:color w:val="000000" w:themeColor="text1"/>
        </w:rPr>
        <w:t xml:space="preserve"> </w:t>
      </w:r>
    </w:p>
    <w:p w14:paraId="115DC368" w14:textId="022E6D56" w:rsidR="00237848" w:rsidRPr="00237848" w:rsidRDefault="00762925" w:rsidP="00237848">
      <w:pPr>
        <w:pStyle w:val="Instructionaltext"/>
        <w:spacing w:after="0"/>
        <w:jc w:val="both"/>
        <w:rPr>
          <w:b/>
          <w:bCs/>
          <w:color w:val="000000" w:themeColor="text1"/>
        </w:rPr>
      </w:pPr>
      <w:r>
        <w:rPr>
          <w:color w:val="000000" w:themeColor="text1"/>
        </w:rPr>
        <w:t xml:space="preserve">The HTA group agrees with the Applicant’s use of the 2021 AIHW estimates of total number of patients with brain cancer, and </w:t>
      </w:r>
      <w:r w:rsidR="003F289C">
        <w:rPr>
          <w:color w:val="000000" w:themeColor="text1"/>
        </w:rPr>
        <w:t xml:space="preserve">the </w:t>
      </w:r>
      <w:r>
        <w:rPr>
          <w:color w:val="000000" w:themeColor="text1"/>
        </w:rPr>
        <w:t>projected 1% population increase per year. However, a review of the literature identified that approximately 81</w:t>
      </w:r>
      <w:r w:rsidRPr="00502947">
        <w:rPr>
          <w:color w:val="000000" w:themeColor="text1"/>
        </w:rPr>
        <w:t xml:space="preserve">% of </w:t>
      </w:r>
      <w:r>
        <w:rPr>
          <w:color w:val="000000" w:themeColor="text1"/>
        </w:rPr>
        <w:t>brain cancers</w:t>
      </w:r>
      <w:r w:rsidRPr="00502947">
        <w:rPr>
          <w:color w:val="000000" w:themeColor="text1"/>
        </w:rPr>
        <w:t xml:space="preserve"> were glial tumours rather than the 40% figure used by the Applicant in</w:t>
      </w:r>
      <w:r w:rsidR="00354CD1">
        <w:rPr>
          <w:color w:val="000000" w:themeColor="text1"/>
        </w:rPr>
        <w:t xml:space="preserve"> estimating the population likely to be eligible for the test</w:t>
      </w:r>
      <w:r w:rsidRPr="00502947">
        <w:rPr>
          <w:color w:val="000000" w:themeColor="text1"/>
        </w:rPr>
        <w:t xml:space="preserve">. Thus, the proportion of patients with gliomas </w:t>
      </w:r>
      <w:r>
        <w:rPr>
          <w:color w:val="000000" w:themeColor="text1"/>
        </w:rPr>
        <w:t>is</w:t>
      </w:r>
      <w:r w:rsidRPr="00502947">
        <w:rPr>
          <w:color w:val="000000" w:themeColor="text1"/>
        </w:rPr>
        <w:t xml:space="preserve"> likely to be much larger</w:t>
      </w:r>
      <w:r>
        <w:rPr>
          <w:color w:val="000000" w:themeColor="text1"/>
        </w:rPr>
        <w:t xml:space="preserve"> than estimated by the Applicant</w:t>
      </w:r>
      <w:r w:rsidRPr="00502947">
        <w:rPr>
          <w:color w:val="000000" w:themeColor="text1"/>
        </w:rPr>
        <w:t>. The Applicant estimated the</w:t>
      </w:r>
      <w:r w:rsidRPr="00F6328C">
        <w:rPr>
          <w:color w:val="000000" w:themeColor="text1"/>
        </w:rPr>
        <w:t xml:space="preserve"> number</w:t>
      </w:r>
      <w:r>
        <w:rPr>
          <w:color w:val="000000" w:themeColor="text1"/>
        </w:rPr>
        <w:t xml:space="preserve"> of individuals diagnosed</w:t>
      </w:r>
      <w:r w:rsidRPr="00F6328C">
        <w:rPr>
          <w:color w:val="000000" w:themeColor="text1"/>
        </w:rPr>
        <w:t xml:space="preserve"> with glioblastomas</w:t>
      </w:r>
      <w:r>
        <w:rPr>
          <w:color w:val="000000" w:themeColor="text1"/>
        </w:rPr>
        <w:t xml:space="preserve"> at 347</w:t>
      </w:r>
      <w:r w:rsidRPr="00F6328C">
        <w:rPr>
          <w:color w:val="000000" w:themeColor="text1"/>
        </w:rPr>
        <w:t xml:space="preserve"> and </w:t>
      </w:r>
      <w:r>
        <w:rPr>
          <w:color w:val="000000" w:themeColor="text1"/>
        </w:rPr>
        <w:t>an independent review of the literature revealed these are likely to be between 48-54%</w:t>
      </w:r>
      <w:r>
        <w:rPr>
          <w:rStyle w:val="FootnoteReference"/>
          <w:color w:val="000000" w:themeColor="text1"/>
        </w:rPr>
        <w:footnoteReference w:id="22"/>
      </w:r>
      <w:r w:rsidRPr="00544E93">
        <w:rPr>
          <w:color w:val="000000" w:themeColor="text1"/>
          <w:vertAlign w:val="superscript"/>
        </w:rPr>
        <w:t>,</w:t>
      </w:r>
      <w:r>
        <w:rPr>
          <w:rStyle w:val="FootnoteReference"/>
          <w:color w:val="000000" w:themeColor="text1"/>
        </w:rPr>
        <w:footnoteReference w:id="23"/>
      </w:r>
      <w:r>
        <w:rPr>
          <w:color w:val="000000" w:themeColor="text1"/>
        </w:rPr>
        <w:t xml:space="preserve">  of gliomas. In 2013, the AIHW specifically reported the incidence of glioblastomas (982 cases of glioblastoma, representing 62% of neuroepithelial tumours diagnosed that year). There is no reason to consider the number of cases would have decreased over time, but no updated data could be located.  Applying the figure of 62% to derive the proportion of gliomas, still only yields a total of 952 cases of glioblastoma</w:t>
      </w:r>
      <w:r w:rsidRPr="00495238">
        <w:rPr>
          <w:color w:val="000000" w:themeColor="text1"/>
          <w:vertAlign w:val="superscript"/>
        </w:rPr>
        <w:fldChar w:fldCharType="begin"/>
      </w:r>
      <w:r w:rsidRPr="00495238">
        <w:rPr>
          <w:color w:val="000000" w:themeColor="text1"/>
          <w:vertAlign w:val="superscript"/>
        </w:rPr>
        <w:instrText xml:space="preserve"> NOTEREF _Ref96419766 \h </w:instrText>
      </w:r>
      <w:r>
        <w:rPr>
          <w:color w:val="000000" w:themeColor="text1"/>
          <w:vertAlign w:val="superscript"/>
        </w:rPr>
        <w:instrText xml:space="preserve"> \* MERGEFORMAT </w:instrText>
      </w:r>
      <w:r w:rsidRPr="00495238">
        <w:rPr>
          <w:color w:val="000000" w:themeColor="text1"/>
          <w:vertAlign w:val="superscript"/>
        </w:rPr>
      </w:r>
      <w:r w:rsidRPr="00495238">
        <w:rPr>
          <w:color w:val="000000" w:themeColor="text1"/>
          <w:vertAlign w:val="superscript"/>
        </w:rPr>
        <w:fldChar w:fldCharType="separate"/>
      </w:r>
      <w:r w:rsidR="00C00851">
        <w:rPr>
          <w:color w:val="000000" w:themeColor="text1"/>
          <w:vertAlign w:val="superscript"/>
        </w:rPr>
        <w:t>8</w:t>
      </w:r>
      <w:r w:rsidRPr="00495238">
        <w:rPr>
          <w:color w:val="000000" w:themeColor="text1"/>
          <w:vertAlign w:val="superscript"/>
        </w:rPr>
        <w:fldChar w:fldCharType="end"/>
      </w:r>
      <w:r>
        <w:rPr>
          <w:color w:val="000000" w:themeColor="text1"/>
        </w:rPr>
        <w:t>, potentially still an underestimate but more concordant with the reported 2013 AIHW figure.</w:t>
      </w:r>
      <w:r w:rsidR="00237848">
        <w:br w:type="page"/>
      </w:r>
    </w:p>
    <w:p w14:paraId="258B796D" w14:textId="01A2BD43" w:rsidR="00762925" w:rsidRDefault="00762925" w:rsidP="00762925">
      <w:pPr>
        <w:pStyle w:val="Caption"/>
      </w:pPr>
      <w:r>
        <w:lastRenderedPageBreak/>
        <w:t xml:space="preserve">Table </w:t>
      </w:r>
      <w:fldSimple w:instr=" SEQ Table \* ARABIC ">
        <w:r w:rsidR="00C00851">
          <w:rPr>
            <w:noProof/>
          </w:rPr>
          <w:t>5</w:t>
        </w:r>
      </w:fldSimple>
      <w:r>
        <w:t xml:space="preserve"> Estimated population eligible for testing with a Glioma Panel</w:t>
      </w:r>
    </w:p>
    <w:tbl>
      <w:tblPr>
        <w:tblStyle w:val="TableGrid"/>
        <w:tblW w:w="9242" w:type="dxa"/>
        <w:tblLook w:val="0020" w:firstRow="1" w:lastRow="0" w:firstColumn="0" w:lastColumn="0" w:noHBand="0" w:noVBand="0"/>
        <w:tblDescription w:val="Estimated population eligible for testing with a Glioma Panel"/>
      </w:tblPr>
      <w:tblGrid>
        <w:gridCol w:w="1804"/>
        <w:gridCol w:w="929"/>
        <w:gridCol w:w="930"/>
        <w:gridCol w:w="930"/>
        <w:gridCol w:w="930"/>
        <w:gridCol w:w="929"/>
        <w:gridCol w:w="930"/>
        <w:gridCol w:w="930"/>
        <w:gridCol w:w="930"/>
      </w:tblGrid>
      <w:tr w:rsidR="00762925" w:rsidRPr="00345095" w14:paraId="0C0F49B8" w14:textId="77777777" w:rsidTr="00867CDF">
        <w:trPr>
          <w:trHeight w:hRule="exact" w:val="482"/>
          <w:tblHeader/>
        </w:trPr>
        <w:tc>
          <w:tcPr>
            <w:tcW w:w="1804" w:type="dxa"/>
          </w:tcPr>
          <w:p w14:paraId="72BE0C15" w14:textId="77777777" w:rsidR="00762925" w:rsidRPr="00345095" w:rsidRDefault="00762925" w:rsidP="001315CE">
            <w:pPr>
              <w:pStyle w:val="Caption"/>
              <w:rPr>
                <w:b w:val="0"/>
                <w:bCs w:val="0"/>
                <w:color w:val="000000" w:themeColor="text1"/>
              </w:rPr>
            </w:pPr>
          </w:p>
        </w:tc>
        <w:tc>
          <w:tcPr>
            <w:tcW w:w="929" w:type="dxa"/>
          </w:tcPr>
          <w:p w14:paraId="7FE27863" w14:textId="77777777" w:rsidR="00762925" w:rsidRPr="00345095" w:rsidRDefault="00762925" w:rsidP="001315CE">
            <w:pPr>
              <w:pStyle w:val="TableHeading0"/>
            </w:pPr>
            <w:r w:rsidRPr="00345095">
              <w:t>2021</w:t>
            </w:r>
          </w:p>
        </w:tc>
        <w:tc>
          <w:tcPr>
            <w:tcW w:w="930" w:type="dxa"/>
          </w:tcPr>
          <w:p w14:paraId="2E316A6C" w14:textId="77777777" w:rsidR="00762925" w:rsidRPr="00345095" w:rsidRDefault="00762925" w:rsidP="001315CE">
            <w:pPr>
              <w:pStyle w:val="TableHeading0"/>
            </w:pPr>
            <w:r w:rsidRPr="00345095">
              <w:t>2022</w:t>
            </w:r>
          </w:p>
        </w:tc>
        <w:tc>
          <w:tcPr>
            <w:tcW w:w="930" w:type="dxa"/>
          </w:tcPr>
          <w:p w14:paraId="38CC7FD6" w14:textId="77777777" w:rsidR="00762925" w:rsidRPr="00345095" w:rsidRDefault="00762925" w:rsidP="001315CE">
            <w:pPr>
              <w:pStyle w:val="TableHeading0"/>
            </w:pPr>
            <w:r w:rsidRPr="00345095">
              <w:t>2023</w:t>
            </w:r>
          </w:p>
        </w:tc>
        <w:tc>
          <w:tcPr>
            <w:tcW w:w="930" w:type="dxa"/>
          </w:tcPr>
          <w:p w14:paraId="1850FCFA" w14:textId="77777777" w:rsidR="00762925" w:rsidRPr="00345095" w:rsidRDefault="00762925" w:rsidP="001315CE">
            <w:pPr>
              <w:pStyle w:val="TableHeading0"/>
            </w:pPr>
            <w:r w:rsidRPr="00345095">
              <w:t>2024</w:t>
            </w:r>
          </w:p>
        </w:tc>
        <w:tc>
          <w:tcPr>
            <w:tcW w:w="929" w:type="dxa"/>
          </w:tcPr>
          <w:p w14:paraId="7605BA30" w14:textId="77777777" w:rsidR="00762925" w:rsidRPr="00345095" w:rsidRDefault="00762925" w:rsidP="001315CE">
            <w:pPr>
              <w:pStyle w:val="TableHeading0"/>
            </w:pPr>
            <w:r w:rsidRPr="00345095">
              <w:t>202</w:t>
            </w:r>
            <w:r>
              <w:t>5</w:t>
            </w:r>
          </w:p>
        </w:tc>
        <w:tc>
          <w:tcPr>
            <w:tcW w:w="930" w:type="dxa"/>
          </w:tcPr>
          <w:p w14:paraId="54C4CC8E" w14:textId="77777777" w:rsidR="00762925" w:rsidRPr="00345095" w:rsidRDefault="00762925" w:rsidP="001315CE">
            <w:pPr>
              <w:pStyle w:val="TableHeading0"/>
            </w:pPr>
            <w:r w:rsidRPr="00345095">
              <w:t>202</w:t>
            </w:r>
            <w:r>
              <w:t>6</w:t>
            </w:r>
          </w:p>
        </w:tc>
        <w:tc>
          <w:tcPr>
            <w:tcW w:w="930" w:type="dxa"/>
          </w:tcPr>
          <w:p w14:paraId="1CE84D03" w14:textId="77777777" w:rsidR="00762925" w:rsidRPr="00345095" w:rsidRDefault="00762925" w:rsidP="001315CE">
            <w:pPr>
              <w:pStyle w:val="TableHeading0"/>
            </w:pPr>
            <w:r w:rsidRPr="00345095">
              <w:t>202</w:t>
            </w:r>
            <w:r>
              <w:t>7</w:t>
            </w:r>
          </w:p>
        </w:tc>
        <w:tc>
          <w:tcPr>
            <w:tcW w:w="930" w:type="dxa"/>
          </w:tcPr>
          <w:p w14:paraId="16DF355F" w14:textId="77777777" w:rsidR="00762925" w:rsidRPr="00345095" w:rsidRDefault="00762925" w:rsidP="001315CE">
            <w:pPr>
              <w:pStyle w:val="TableHeading0"/>
            </w:pPr>
            <w:r w:rsidRPr="00345095">
              <w:t>202</w:t>
            </w:r>
            <w:r>
              <w:t>8</w:t>
            </w:r>
          </w:p>
        </w:tc>
      </w:tr>
      <w:tr w:rsidR="00762925" w:rsidRPr="00345095" w14:paraId="02CE5FEA" w14:textId="77777777" w:rsidTr="00867CDF">
        <w:trPr>
          <w:trHeight w:val="540"/>
        </w:trPr>
        <w:tc>
          <w:tcPr>
            <w:tcW w:w="1804" w:type="dxa"/>
          </w:tcPr>
          <w:p w14:paraId="418BC0E8" w14:textId="77777777" w:rsidR="00762925" w:rsidRPr="00345095" w:rsidRDefault="00762925" w:rsidP="001315CE">
            <w:pPr>
              <w:pStyle w:val="Tabletext0"/>
              <w:jc w:val="left"/>
              <w:rPr>
                <w:rFonts w:eastAsiaTheme="minorHAnsi"/>
              </w:rPr>
            </w:pPr>
            <w:r>
              <w:rPr>
                <w:rFonts w:eastAsiaTheme="minorHAnsi"/>
              </w:rPr>
              <w:t xml:space="preserve">A. </w:t>
            </w:r>
            <w:r w:rsidRPr="00345095">
              <w:rPr>
                <w:rFonts w:eastAsiaTheme="minorHAnsi"/>
              </w:rPr>
              <w:t>Brain cancer</w:t>
            </w:r>
          </w:p>
        </w:tc>
        <w:tc>
          <w:tcPr>
            <w:tcW w:w="929" w:type="dxa"/>
          </w:tcPr>
          <w:p w14:paraId="29744C70" w14:textId="722B5206" w:rsidR="00762925" w:rsidRPr="00345095" w:rsidRDefault="00762925" w:rsidP="001315CE">
            <w:pPr>
              <w:pStyle w:val="Tabletext0"/>
              <w:rPr>
                <w:rFonts w:eastAsiaTheme="minorHAnsi"/>
              </w:rPr>
            </w:pPr>
            <w:r w:rsidRPr="00345095">
              <w:rPr>
                <w:rFonts w:eastAsiaTheme="minorHAnsi"/>
              </w:rPr>
              <w:t>1,896</w:t>
            </w:r>
            <w:r w:rsidRPr="00345095">
              <w:t>*</w:t>
            </w:r>
          </w:p>
        </w:tc>
        <w:tc>
          <w:tcPr>
            <w:tcW w:w="930" w:type="dxa"/>
          </w:tcPr>
          <w:p w14:paraId="6DA53B74" w14:textId="77777777" w:rsidR="00762925" w:rsidRPr="00345095" w:rsidRDefault="00762925" w:rsidP="001315CE">
            <w:pPr>
              <w:pStyle w:val="Tabletext0"/>
              <w:rPr>
                <w:rFonts w:eastAsiaTheme="minorHAnsi"/>
              </w:rPr>
            </w:pPr>
            <w:r w:rsidRPr="00345095">
              <w:rPr>
                <w:rFonts w:eastAsiaTheme="minorHAnsi"/>
              </w:rPr>
              <w:t>1,915</w:t>
            </w:r>
          </w:p>
        </w:tc>
        <w:tc>
          <w:tcPr>
            <w:tcW w:w="930" w:type="dxa"/>
          </w:tcPr>
          <w:p w14:paraId="76E6B804" w14:textId="77777777" w:rsidR="00762925" w:rsidRPr="00345095" w:rsidRDefault="00762925" w:rsidP="001315CE">
            <w:pPr>
              <w:pStyle w:val="Tabletext0"/>
              <w:rPr>
                <w:rFonts w:eastAsiaTheme="minorHAnsi"/>
              </w:rPr>
            </w:pPr>
            <w:r w:rsidRPr="00345095">
              <w:rPr>
                <w:rFonts w:eastAsiaTheme="minorHAnsi"/>
              </w:rPr>
              <w:t>1,934</w:t>
            </w:r>
            <w:r>
              <w:rPr>
                <w:rFonts w:eastAsiaTheme="minorHAnsi"/>
              </w:rPr>
              <w:t xml:space="preserve"> </w:t>
            </w:r>
          </w:p>
        </w:tc>
        <w:tc>
          <w:tcPr>
            <w:tcW w:w="930" w:type="dxa"/>
          </w:tcPr>
          <w:p w14:paraId="0C2E5A6E" w14:textId="77777777" w:rsidR="00762925" w:rsidRPr="00345095" w:rsidRDefault="00762925" w:rsidP="001315CE">
            <w:pPr>
              <w:pStyle w:val="Tabletext0"/>
              <w:rPr>
                <w:rFonts w:eastAsiaTheme="minorHAnsi"/>
              </w:rPr>
            </w:pPr>
            <w:r w:rsidRPr="00345095">
              <w:rPr>
                <w:rFonts w:eastAsiaTheme="minorHAnsi"/>
              </w:rPr>
              <w:t>1,953</w:t>
            </w:r>
          </w:p>
        </w:tc>
        <w:tc>
          <w:tcPr>
            <w:tcW w:w="929" w:type="dxa"/>
          </w:tcPr>
          <w:p w14:paraId="694FF3DE" w14:textId="77777777" w:rsidR="00762925" w:rsidRPr="00345095" w:rsidRDefault="00762925" w:rsidP="001315CE">
            <w:pPr>
              <w:pStyle w:val="Tabletext0"/>
              <w:rPr>
                <w:rFonts w:eastAsiaTheme="minorHAnsi"/>
              </w:rPr>
            </w:pPr>
            <w:r w:rsidRPr="00345095">
              <w:rPr>
                <w:rFonts w:eastAsiaTheme="minorHAnsi"/>
              </w:rPr>
              <w:t>1,9</w:t>
            </w:r>
            <w:r>
              <w:rPr>
                <w:rFonts w:eastAsiaTheme="minorHAnsi"/>
              </w:rPr>
              <w:t>7</w:t>
            </w:r>
            <w:r w:rsidRPr="00345095">
              <w:rPr>
                <w:rFonts w:eastAsiaTheme="minorHAnsi"/>
              </w:rPr>
              <w:t>3</w:t>
            </w:r>
          </w:p>
        </w:tc>
        <w:tc>
          <w:tcPr>
            <w:tcW w:w="930" w:type="dxa"/>
          </w:tcPr>
          <w:p w14:paraId="3B4B778C" w14:textId="77777777" w:rsidR="00762925" w:rsidRPr="00345095" w:rsidRDefault="00762925" w:rsidP="001315CE">
            <w:pPr>
              <w:pStyle w:val="Tabletext0"/>
              <w:rPr>
                <w:rFonts w:eastAsiaTheme="minorHAnsi"/>
              </w:rPr>
            </w:pPr>
            <w:r w:rsidRPr="00345095">
              <w:rPr>
                <w:rFonts w:eastAsiaTheme="minorHAnsi"/>
              </w:rPr>
              <w:t>1,9</w:t>
            </w:r>
            <w:r>
              <w:rPr>
                <w:rFonts w:eastAsiaTheme="minorHAnsi"/>
              </w:rPr>
              <w:t>93</w:t>
            </w:r>
          </w:p>
        </w:tc>
        <w:tc>
          <w:tcPr>
            <w:tcW w:w="930" w:type="dxa"/>
          </w:tcPr>
          <w:p w14:paraId="5935FEEA" w14:textId="77777777" w:rsidR="00762925" w:rsidRPr="00345095" w:rsidRDefault="00762925" w:rsidP="001315CE">
            <w:pPr>
              <w:pStyle w:val="Tabletext0"/>
              <w:rPr>
                <w:rFonts w:eastAsiaTheme="minorHAnsi"/>
              </w:rPr>
            </w:pPr>
            <w:r>
              <w:rPr>
                <w:rFonts w:eastAsiaTheme="minorHAnsi"/>
              </w:rPr>
              <w:t>2,013</w:t>
            </w:r>
          </w:p>
        </w:tc>
        <w:tc>
          <w:tcPr>
            <w:tcW w:w="930" w:type="dxa"/>
          </w:tcPr>
          <w:p w14:paraId="078134AC" w14:textId="77777777" w:rsidR="00762925" w:rsidRDefault="00762925" w:rsidP="001315CE">
            <w:pPr>
              <w:pStyle w:val="Tabletext0"/>
              <w:rPr>
                <w:rFonts w:eastAsiaTheme="minorHAnsi"/>
              </w:rPr>
            </w:pPr>
            <w:r>
              <w:rPr>
                <w:rFonts w:eastAsiaTheme="minorHAnsi"/>
              </w:rPr>
              <w:t>2,033</w:t>
            </w:r>
          </w:p>
        </w:tc>
      </w:tr>
      <w:tr w:rsidR="00762925" w:rsidRPr="00345095" w14:paraId="0F439158" w14:textId="77777777" w:rsidTr="00867CDF">
        <w:trPr>
          <w:trHeight w:val="540"/>
        </w:trPr>
        <w:tc>
          <w:tcPr>
            <w:tcW w:w="1804" w:type="dxa"/>
          </w:tcPr>
          <w:p w14:paraId="424234AD" w14:textId="17FE4DD1" w:rsidR="00762925" w:rsidRPr="00345095" w:rsidRDefault="00762925" w:rsidP="001315CE">
            <w:pPr>
              <w:pStyle w:val="Tabletext0"/>
              <w:jc w:val="left"/>
              <w:rPr>
                <w:rFonts w:eastAsiaTheme="minorHAnsi"/>
              </w:rPr>
            </w:pPr>
            <w:r>
              <w:rPr>
                <w:rFonts w:eastAsiaTheme="minorHAnsi"/>
              </w:rPr>
              <w:t xml:space="preserve">B. </w:t>
            </w:r>
            <w:r w:rsidRPr="00345095">
              <w:rPr>
                <w:rFonts w:eastAsiaTheme="minorHAnsi"/>
              </w:rPr>
              <w:t>Glioma</w:t>
            </w:r>
            <w:r>
              <w:rPr>
                <w:rFonts w:eastAsiaTheme="minorHAnsi"/>
              </w:rPr>
              <w:t xml:space="preserve"> </w:t>
            </w:r>
            <w:r w:rsidR="003B72B7">
              <w:rPr>
                <w:rFonts w:eastAsiaTheme="minorHAnsi"/>
              </w:rPr>
              <w:br/>
            </w:r>
            <w:r>
              <w:rPr>
                <w:rFonts w:eastAsiaTheme="minorHAnsi"/>
              </w:rPr>
              <w:t>(</w:t>
            </w:r>
            <w:r w:rsidRPr="00590CCD">
              <w:rPr>
                <w:rFonts w:eastAsiaTheme="minorHAnsi"/>
                <w:strike/>
              </w:rPr>
              <w:t>40%</w:t>
            </w:r>
            <w:r>
              <w:rPr>
                <w:rFonts w:eastAsiaTheme="minorHAnsi"/>
              </w:rPr>
              <w:t xml:space="preserve"> 81%</w:t>
            </w:r>
            <w:r w:rsidRPr="00C73416">
              <w:rPr>
                <w:rFonts w:eastAsiaTheme="minorHAnsi"/>
                <w:vertAlign w:val="superscript"/>
              </w:rPr>
              <w:t>†</w:t>
            </w:r>
            <w:r>
              <w:rPr>
                <w:rFonts w:eastAsiaTheme="minorHAnsi"/>
              </w:rPr>
              <w:t xml:space="preserve"> of A)</w:t>
            </w:r>
          </w:p>
        </w:tc>
        <w:tc>
          <w:tcPr>
            <w:tcW w:w="929" w:type="dxa"/>
          </w:tcPr>
          <w:p w14:paraId="00EBB230" w14:textId="77777777" w:rsidR="00762925" w:rsidRPr="00590CCD" w:rsidRDefault="00762925" w:rsidP="001315CE">
            <w:pPr>
              <w:pStyle w:val="Tabletext0"/>
              <w:rPr>
                <w:rFonts w:eastAsiaTheme="minorHAnsi"/>
                <w:strike/>
              </w:rPr>
            </w:pPr>
            <w:r w:rsidRPr="00590CCD">
              <w:rPr>
                <w:rFonts w:eastAsiaTheme="minorHAnsi"/>
                <w:strike/>
              </w:rPr>
              <w:t>758</w:t>
            </w:r>
            <w:r>
              <w:rPr>
                <w:rFonts w:eastAsiaTheme="minorHAnsi"/>
                <w:strike/>
              </w:rPr>
              <w:t xml:space="preserve"> </w:t>
            </w:r>
            <w:r>
              <w:rPr>
                <w:rFonts w:eastAsiaTheme="minorHAnsi"/>
              </w:rPr>
              <w:t>1,536</w:t>
            </w:r>
            <w:r w:rsidRPr="00B61A1A">
              <w:rPr>
                <w:rFonts w:eastAsiaTheme="minorHAnsi"/>
                <w:vertAlign w:val="superscript"/>
              </w:rPr>
              <w:t>†</w:t>
            </w:r>
          </w:p>
        </w:tc>
        <w:tc>
          <w:tcPr>
            <w:tcW w:w="930" w:type="dxa"/>
          </w:tcPr>
          <w:p w14:paraId="6D1F7DAD" w14:textId="77777777" w:rsidR="00762925" w:rsidRPr="00345095" w:rsidRDefault="00762925" w:rsidP="001315CE">
            <w:pPr>
              <w:pStyle w:val="Tabletext0"/>
              <w:rPr>
                <w:rFonts w:eastAsiaTheme="minorHAnsi"/>
              </w:rPr>
            </w:pPr>
            <w:r>
              <w:rPr>
                <w:rFonts w:eastAsiaTheme="minorHAnsi"/>
              </w:rPr>
              <w:t>1,551</w:t>
            </w:r>
          </w:p>
        </w:tc>
        <w:tc>
          <w:tcPr>
            <w:tcW w:w="930" w:type="dxa"/>
          </w:tcPr>
          <w:p w14:paraId="6C25566C" w14:textId="02F6AC1D" w:rsidR="00762925" w:rsidRPr="00345095" w:rsidRDefault="00762925" w:rsidP="001315CE">
            <w:pPr>
              <w:pStyle w:val="Tabletext0"/>
              <w:rPr>
                <w:rFonts w:eastAsiaTheme="minorHAnsi"/>
              </w:rPr>
            </w:pPr>
            <w:r>
              <w:rPr>
                <w:rFonts w:eastAsiaTheme="minorHAnsi"/>
              </w:rPr>
              <w:t>1,56</w:t>
            </w:r>
            <w:r w:rsidR="00300F47">
              <w:rPr>
                <w:rFonts w:eastAsiaTheme="minorHAnsi"/>
              </w:rPr>
              <w:t>7</w:t>
            </w:r>
          </w:p>
        </w:tc>
        <w:tc>
          <w:tcPr>
            <w:tcW w:w="930" w:type="dxa"/>
          </w:tcPr>
          <w:p w14:paraId="6F716D49" w14:textId="77777777" w:rsidR="00762925" w:rsidRPr="002B256A" w:rsidRDefault="00762925" w:rsidP="001315CE">
            <w:pPr>
              <w:pStyle w:val="Tabletext0"/>
              <w:rPr>
                <w:rFonts w:eastAsiaTheme="minorHAnsi"/>
                <w:strike/>
              </w:rPr>
            </w:pPr>
            <w:r>
              <w:rPr>
                <w:rFonts w:eastAsiaTheme="minorHAnsi"/>
              </w:rPr>
              <w:t>1,582</w:t>
            </w:r>
          </w:p>
        </w:tc>
        <w:tc>
          <w:tcPr>
            <w:tcW w:w="929" w:type="dxa"/>
          </w:tcPr>
          <w:p w14:paraId="6D7A73B1" w14:textId="77777777" w:rsidR="00762925" w:rsidRPr="002B256A" w:rsidRDefault="00762925" w:rsidP="001315CE">
            <w:pPr>
              <w:pStyle w:val="Tabletext0"/>
              <w:rPr>
                <w:rFonts w:eastAsiaTheme="minorHAnsi"/>
                <w:strike/>
              </w:rPr>
            </w:pPr>
            <w:r>
              <w:rPr>
                <w:rFonts w:eastAsiaTheme="minorHAnsi"/>
              </w:rPr>
              <w:t>1,598</w:t>
            </w:r>
          </w:p>
        </w:tc>
        <w:tc>
          <w:tcPr>
            <w:tcW w:w="930" w:type="dxa"/>
          </w:tcPr>
          <w:p w14:paraId="0DB535FB" w14:textId="77777777" w:rsidR="00762925" w:rsidRPr="002B256A" w:rsidRDefault="00762925" w:rsidP="001315CE">
            <w:pPr>
              <w:pStyle w:val="Tabletext0"/>
              <w:rPr>
                <w:rFonts w:eastAsiaTheme="minorHAnsi"/>
                <w:strike/>
              </w:rPr>
            </w:pPr>
            <w:r>
              <w:rPr>
                <w:rFonts w:eastAsiaTheme="minorHAnsi"/>
              </w:rPr>
              <w:t>1,614</w:t>
            </w:r>
          </w:p>
        </w:tc>
        <w:tc>
          <w:tcPr>
            <w:tcW w:w="930" w:type="dxa"/>
          </w:tcPr>
          <w:p w14:paraId="7BE48837" w14:textId="77777777" w:rsidR="00762925" w:rsidRPr="00345095" w:rsidRDefault="00762925" w:rsidP="001315CE">
            <w:pPr>
              <w:pStyle w:val="Tabletext0"/>
              <w:rPr>
                <w:rFonts w:eastAsiaTheme="minorHAnsi"/>
              </w:rPr>
            </w:pPr>
            <w:r>
              <w:rPr>
                <w:rFonts w:eastAsiaTheme="minorHAnsi"/>
              </w:rPr>
              <w:t>1,630</w:t>
            </w:r>
          </w:p>
        </w:tc>
        <w:tc>
          <w:tcPr>
            <w:tcW w:w="930" w:type="dxa"/>
          </w:tcPr>
          <w:p w14:paraId="094AA25D" w14:textId="4C3598CB" w:rsidR="00762925" w:rsidRDefault="00762925" w:rsidP="001315CE">
            <w:pPr>
              <w:pStyle w:val="Tabletext0"/>
              <w:rPr>
                <w:rFonts w:eastAsiaTheme="minorHAnsi"/>
              </w:rPr>
            </w:pPr>
            <w:r>
              <w:rPr>
                <w:rFonts w:eastAsiaTheme="minorHAnsi"/>
              </w:rPr>
              <w:t>1,64</w:t>
            </w:r>
            <w:r w:rsidR="00300F47">
              <w:rPr>
                <w:rFonts w:eastAsiaTheme="minorHAnsi"/>
              </w:rPr>
              <w:t>7</w:t>
            </w:r>
          </w:p>
        </w:tc>
      </w:tr>
      <w:tr w:rsidR="00762925" w:rsidRPr="00345095" w14:paraId="65D6BB3C" w14:textId="77777777" w:rsidTr="00867CDF">
        <w:trPr>
          <w:trHeight w:val="540"/>
        </w:trPr>
        <w:tc>
          <w:tcPr>
            <w:tcW w:w="1804" w:type="dxa"/>
          </w:tcPr>
          <w:p w14:paraId="2E2BA25B" w14:textId="77777777" w:rsidR="00762925" w:rsidRPr="00345095" w:rsidRDefault="00762925" w:rsidP="001315CE">
            <w:pPr>
              <w:pStyle w:val="Tabletext0"/>
              <w:jc w:val="left"/>
              <w:rPr>
                <w:rFonts w:eastAsiaTheme="minorHAnsi"/>
              </w:rPr>
            </w:pPr>
            <w:r>
              <w:rPr>
                <w:rFonts w:eastAsiaTheme="minorHAnsi"/>
              </w:rPr>
              <w:t>C. Glioblastoma total (62% of B)</w:t>
            </w:r>
          </w:p>
        </w:tc>
        <w:tc>
          <w:tcPr>
            <w:tcW w:w="929" w:type="dxa"/>
          </w:tcPr>
          <w:p w14:paraId="5B00382D" w14:textId="77777777" w:rsidR="00762925" w:rsidRPr="00345095" w:rsidRDefault="00762925" w:rsidP="001315CE">
            <w:pPr>
              <w:pStyle w:val="Tabletext0"/>
              <w:rPr>
                <w:rFonts w:eastAsiaTheme="minorHAnsi"/>
              </w:rPr>
            </w:pPr>
            <w:r>
              <w:rPr>
                <w:rFonts w:eastAsiaTheme="minorHAnsi"/>
              </w:rPr>
              <w:t>952</w:t>
            </w:r>
          </w:p>
        </w:tc>
        <w:tc>
          <w:tcPr>
            <w:tcW w:w="930" w:type="dxa"/>
          </w:tcPr>
          <w:p w14:paraId="3277FC40" w14:textId="77777777" w:rsidR="00762925" w:rsidRPr="00345095" w:rsidRDefault="00762925" w:rsidP="001315CE">
            <w:pPr>
              <w:pStyle w:val="Tabletext0"/>
              <w:rPr>
                <w:rFonts w:eastAsiaTheme="minorHAnsi"/>
              </w:rPr>
            </w:pPr>
            <w:r>
              <w:rPr>
                <w:rFonts w:eastAsiaTheme="minorHAnsi"/>
              </w:rPr>
              <w:t>962</w:t>
            </w:r>
          </w:p>
        </w:tc>
        <w:tc>
          <w:tcPr>
            <w:tcW w:w="930" w:type="dxa"/>
          </w:tcPr>
          <w:p w14:paraId="4014FE4A" w14:textId="77777777" w:rsidR="00762925" w:rsidRPr="00345095" w:rsidRDefault="00762925" w:rsidP="001315CE">
            <w:pPr>
              <w:pStyle w:val="Tabletext0"/>
              <w:rPr>
                <w:rFonts w:eastAsiaTheme="minorHAnsi"/>
              </w:rPr>
            </w:pPr>
            <w:r>
              <w:rPr>
                <w:rFonts w:eastAsiaTheme="minorHAnsi"/>
              </w:rPr>
              <w:t>971</w:t>
            </w:r>
          </w:p>
        </w:tc>
        <w:tc>
          <w:tcPr>
            <w:tcW w:w="930" w:type="dxa"/>
          </w:tcPr>
          <w:p w14:paraId="006C2AF6" w14:textId="77777777" w:rsidR="00762925" w:rsidRDefault="00762925" w:rsidP="001315CE">
            <w:pPr>
              <w:pStyle w:val="Tabletext0"/>
              <w:rPr>
                <w:rFonts w:eastAsiaTheme="minorHAnsi"/>
              </w:rPr>
            </w:pPr>
            <w:r>
              <w:rPr>
                <w:rFonts w:eastAsiaTheme="minorHAnsi"/>
              </w:rPr>
              <w:t>981</w:t>
            </w:r>
          </w:p>
        </w:tc>
        <w:tc>
          <w:tcPr>
            <w:tcW w:w="929" w:type="dxa"/>
          </w:tcPr>
          <w:p w14:paraId="50B8DD2F" w14:textId="77777777" w:rsidR="00762925" w:rsidRDefault="00762925" w:rsidP="001315CE">
            <w:pPr>
              <w:pStyle w:val="Tabletext0"/>
              <w:rPr>
                <w:rFonts w:eastAsiaTheme="minorHAnsi"/>
              </w:rPr>
            </w:pPr>
            <w:r>
              <w:rPr>
                <w:rFonts w:eastAsiaTheme="minorHAnsi"/>
              </w:rPr>
              <w:t>991</w:t>
            </w:r>
          </w:p>
        </w:tc>
        <w:tc>
          <w:tcPr>
            <w:tcW w:w="930" w:type="dxa"/>
          </w:tcPr>
          <w:p w14:paraId="5F0A284B" w14:textId="77777777" w:rsidR="00762925" w:rsidRDefault="00762925" w:rsidP="001315CE">
            <w:pPr>
              <w:pStyle w:val="Tabletext0"/>
              <w:rPr>
                <w:rFonts w:eastAsiaTheme="minorHAnsi"/>
              </w:rPr>
            </w:pPr>
            <w:r>
              <w:rPr>
                <w:rFonts w:eastAsiaTheme="minorHAnsi"/>
              </w:rPr>
              <w:t>1,001</w:t>
            </w:r>
          </w:p>
        </w:tc>
        <w:tc>
          <w:tcPr>
            <w:tcW w:w="930" w:type="dxa"/>
          </w:tcPr>
          <w:p w14:paraId="23B8B0D8" w14:textId="77777777" w:rsidR="00762925" w:rsidRPr="00345095" w:rsidRDefault="00762925" w:rsidP="001315CE">
            <w:pPr>
              <w:pStyle w:val="Tabletext0"/>
              <w:rPr>
                <w:rFonts w:eastAsiaTheme="minorHAnsi"/>
              </w:rPr>
            </w:pPr>
            <w:r>
              <w:rPr>
                <w:rFonts w:eastAsiaTheme="minorHAnsi"/>
              </w:rPr>
              <w:t>1,011</w:t>
            </w:r>
          </w:p>
        </w:tc>
        <w:tc>
          <w:tcPr>
            <w:tcW w:w="930" w:type="dxa"/>
          </w:tcPr>
          <w:p w14:paraId="7F652203" w14:textId="77777777" w:rsidR="00762925" w:rsidRDefault="00762925" w:rsidP="001315CE">
            <w:pPr>
              <w:pStyle w:val="Tabletext0"/>
              <w:rPr>
                <w:rFonts w:eastAsiaTheme="minorHAnsi"/>
              </w:rPr>
            </w:pPr>
            <w:r>
              <w:rPr>
                <w:rFonts w:eastAsiaTheme="minorHAnsi"/>
              </w:rPr>
              <w:t>1,021</w:t>
            </w:r>
          </w:p>
        </w:tc>
      </w:tr>
      <w:tr w:rsidR="00762925" w:rsidRPr="00345095" w14:paraId="7EA3E58C" w14:textId="77777777" w:rsidTr="00867CDF">
        <w:trPr>
          <w:trHeight w:val="540"/>
        </w:trPr>
        <w:tc>
          <w:tcPr>
            <w:tcW w:w="1804" w:type="dxa"/>
          </w:tcPr>
          <w:p w14:paraId="79D9C73B" w14:textId="0F8BB6DB" w:rsidR="00762925" w:rsidRDefault="00762925" w:rsidP="001315CE">
            <w:pPr>
              <w:pStyle w:val="Tabletext0"/>
              <w:jc w:val="left"/>
              <w:rPr>
                <w:rFonts w:eastAsiaTheme="minorHAnsi"/>
              </w:rPr>
            </w:pPr>
            <w:r>
              <w:rPr>
                <w:rFonts w:eastAsiaTheme="minorHAnsi"/>
              </w:rPr>
              <w:t>D. Glioblastomas not requiring additional testing (WHO grade 4, age, histology morphology) (C x 50%*</w:t>
            </w:r>
            <w:r w:rsidR="00300F47">
              <w:rPr>
                <w:rFonts w:eastAsiaTheme="minorHAnsi"/>
              </w:rPr>
              <w:t>*</w:t>
            </w:r>
            <w:r>
              <w:rPr>
                <w:rFonts w:eastAsiaTheme="minorHAnsi"/>
              </w:rPr>
              <w:t>)</w:t>
            </w:r>
          </w:p>
        </w:tc>
        <w:tc>
          <w:tcPr>
            <w:tcW w:w="929" w:type="dxa"/>
          </w:tcPr>
          <w:p w14:paraId="32BD2BDA" w14:textId="77777777" w:rsidR="00762925" w:rsidRDefault="00762925" w:rsidP="001315CE">
            <w:pPr>
              <w:pStyle w:val="Tabletext0"/>
              <w:rPr>
                <w:rFonts w:eastAsiaTheme="minorHAnsi"/>
              </w:rPr>
            </w:pPr>
            <w:r>
              <w:rPr>
                <w:rFonts w:eastAsiaTheme="minorHAnsi"/>
              </w:rPr>
              <w:t>476</w:t>
            </w:r>
          </w:p>
        </w:tc>
        <w:tc>
          <w:tcPr>
            <w:tcW w:w="930" w:type="dxa"/>
          </w:tcPr>
          <w:p w14:paraId="1E482922" w14:textId="77777777" w:rsidR="00762925" w:rsidRPr="00345095" w:rsidRDefault="00762925" w:rsidP="001315CE">
            <w:pPr>
              <w:pStyle w:val="Tabletext0"/>
              <w:rPr>
                <w:rFonts w:eastAsiaTheme="minorHAnsi"/>
              </w:rPr>
            </w:pPr>
            <w:r>
              <w:rPr>
                <w:rFonts w:eastAsiaTheme="minorHAnsi"/>
              </w:rPr>
              <w:t>481</w:t>
            </w:r>
          </w:p>
        </w:tc>
        <w:tc>
          <w:tcPr>
            <w:tcW w:w="930" w:type="dxa"/>
          </w:tcPr>
          <w:p w14:paraId="515EB625" w14:textId="77777777" w:rsidR="00762925" w:rsidRPr="00345095" w:rsidRDefault="00762925" w:rsidP="001315CE">
            <w:pPr>
              <w:pStyle w:val="Tabletext0"/>
              <w:rPr>
                <w:rFonts w:eastAsiaTheme="minorHAnsi"/>
              </w:rPr>
            </w:pPr>
            <w:r>
              <w:rPr>
                <w:rFonts w:eastAsiaTheme="minorHAnsi"/>
              </w:rPr>
              <w:t>486</w:t>
            </w:r>
          </w:p>
        </w:tc>
        <w:tc>
          <w:tcPr>
            <w:tcW w:w="930" w:type="dxa"/>
          </w:tcPr>
          <w:p w14:paraId="397E9D82" w14:textId="77777777" w:rsidR="00762925" w:rsidRDefault="00762925" w:rsidP="001315CE">
            <w:pPr>
              <w:pStyle w:val="Tabletext0"/>
              <w:rPr>
                <w:rFonts w:eastAsiaTheme="minorHAnsi"/>
              </w:rPr>
            </w:pPr>
            <w:r>
              <w:rPr>
                <w:rFonts w:eastAsiaTheme="minorHAnsi"/>
              </w:rPr>
              <w:t>491</w:t>
            </w:r>
          </w:p>
        </w:tc>
        <w:tc>
          <w:tcPr>
            <w:tcW w:w="929" w:type="dxa"/>
          </w:tcPr>
          <w:p w14:paraId="496D4590" w14:textId="3F338FCC" w:rsidR="00762925" w:rsidRDefault="00762925" w:rsidP="001315CE">
            <w:pPr>
              <w:pStyle w:val="Tabletext0"/>
              <w:rPr>
                <w:rFonts w:eastAsiaTheme="minorHAnsi"/>
              </w:rPr>
            </w:pPr>
            <w:r>
              <w:rPr>
                <w:rFonts w:eastAsiaTheme="minorHAnsi"/>
              </w:rPr>
              <w:t>49</w:t>
            </w:r>
            <w:r w:rsidR="00300F47">
              <w:rPr>
                <w:rFonts w:eastAsiaTheme="minorHAnsi"/>
              </w:rPr>
              <w:t>5</w:t>
            </w:r>
          </w:p>
        </w:tc>
        <w:tc>
          <w:tcPr>
            <w:tcW w:w="930" w:type="dxa"/>
          </w:tcPr>
          <w:p w14:paraId="00128E24" w14:textId="38204CBE" w:rsidR="00762925" w:rsidRDefault="00762925" w:rsidP="001315CE">
            <w:pPr>
              <w:pStyle w:val="Tabletext0"/>
              <w:rPr>
                <w:rFonts w:eastAsiaTheme="minorHAnsi"/>
              </w:rPr>
            </w:pPr>
            <w:r>
              <w:rPr>
                <w:rFonts w:eastAsiaTheme="minorHAnsi"/>
              </w:rPr>
              <w:t>50</w:t>
            </w:r>
            <w:r w:rsidR="00300F47">
              <w:rPr>
                <w:rFonts w:eastAsiaTheme="minorHAnsi"/>
              </w:rPr>
              <w:t>0</w:t>
            </w:r>
          </w:p>
        </w:tc>
        <w:tc>
          <w:tcPr>
            <w:tcW w:w="930" w:type="dxa"/>
          </w:tcPr>
          <w:p w14:paraId="62E3B2F9" w14:textId="4A2CE160" w:rsidR="00762925" w:rsidRPr="00345095" w:rsidRDefault="00762925" w:rsidP="001315CE">
            <w:pPr>
              <w:pStyle w:val="Tabletext0"/>
              <w:rPr>
                <w:rFonts w:eastAsiaTheme="minorHAnsi"/>
              </w:rPr>
            </w:pPr>
            <w:r>
              <w:rPr>
                <w:rFonts w:eastAsiaTheme="minorHAnsi"/>
              </w:rPr>
              <w:t>50</w:t>
            </w:r>
            <w:r w:rsidR="00300F47">
              <w:rPr>
                <w:rFonts w:eastAsiaTheme="minorHAnsi"/>
              </w:rPr>
              <w:t>5</w:t>
            </w:r>
          </w:p>
        </w:tc>
        <w:tc>
          <w:tcPr>
            <w:tcW w:w="930" w:type="dxa"/>
          </w:tcPr>
          <w:p w14:paraId="5455E7A1" w14:textId="36CEFD3D" w:rsidR="00762925" w:rsidRDefault="00762925" w:rsidP="001315CE">
            <w:pPr>
              <w:pStyle w:val="Tabletext0"/>
              <w:rPr>
                <w:rFonts w:eastAsiaTheme="minorHAnsi"/>
              </w:rPr>
            </w:pPr>
            <w:r>
              <w:rPr>
                <w:rFonts w:eastAsiaTheme="minorHAnsi"/>
              </w:rPr>
              <w:t>51</w:t>
            </w:r>
            <w:r w:rsidR="00300F47">
              <w:rPr>
                <w:rFonts w:eastAsiaTheme="minorHAnsi"/>
              </w:rPr>
              <w:t>0</w:t>
            </w:r>
          </w:p>
        </w:tc>
      </w:tr>
      <w:tr w:rsidR="00762925" w:rsidRPr="00345095" w14:paraId="760A546E" w14:textId="77777777" w:rsidTr="00867CDF">
        <w:trPr>
          <w:trHeight w:val="540"/>
        </w:trPr>
        <w:tc>
          <w:tcPr>
            <w:tcW w:w="1804" w:type="dxa"/>
          </w:tcPr>
          <w:p w14:paraId="70AA38CC" w14:textId="77777777" w:rsidR="00762925" w:rsidRDefault="00762925" w:rsidP="001315CE">
            <w:pPr>
              <w:pStyle w:val="Tabletext0"/>
              <w:jc w:val="left"/>
              <w:rPr>
                <w:rFonts w:eastAsiaTheme="minorHAnsi"/>
              </w:rPr>
            </w:pPr>
            <w:r>
              <w:rPr>
                <w:rFonts w:eastAsiaTheme="minorHAnsi"/>
              </w:rPr>
              <w:t>E. Total number eligible (B-D)</w:t>
            </w:r>
          </w:p>
        </w:tc>
        <w:tc>
          <w:tcPr>
            <w:tcW w:w="929" w:type="dxa"/>
          </w:tcPr>
          <w:p w14:paraId="4D51DD93" w14:textId="77777777" w:rsidR="00762925" w:rsidRDefault="00762925" w:rsidP="001315CE">
            <w:pPr>
              <w:pStyle w:val="Tabletext0"/>
              <w:rPr>
                <w:rFonts w:eastAsiaTheme="minorHAnsi"/>
              </w:rPr>
            </w:pPr>
            <w:r>
              <w:rPr>
                <w:rFonts w:eastAsiaTheme="minorHAnsi"/>
              </w:rPr>
              <w:t>1,060</w:t>
            </w:r>
          </w:p>
        </w:tc>
        <w:tc>
          <w:tcPr>
            <w:tcW w:w="930" w:type="dxa"/>
          </w:tcPr>
          <w:p w14:paraId="58AE26CB" w14:textId="77777777" w:rsidR="00762925" w:rsidRPr="00345095" w:rsidRDefault="00762925" w:rsidP="001315CE">
            <w:pPr>
              <w:pStyle w:val="Tabletext0"/>
              <w:rPr>
                <w:rFonts w:eastAsiaTheme="minorHAnsi"/>
              </w:rPr>
            </w:pPr>
            <w:r>
              <w:rPr>
                <w:rFonts w:eastAsiaTheme="minorHAnsi"/>
              </w:rPr>
              <w:t>1,070</w:t>
            </w:r>
          </w:p>
        </w:tc>
        <w:tc>
          <w:tcPr>
            <w:tcW w:w="930" w:type="dxa"/>
          </w:tcPr>
          <w:p w14:paraId="2C132425" w14:textId="3DD5CD13" w:rsidR="00762925" w:rsidRPr="00345095" w:rsidRDefault="00762925" w:rsidP="001315CE">
            <w:pPr>
              <w:pStyle w:val="Tabletext0"/>
              <w:rPr>
                <w:rFonts w:eastAsiaTheme="minorHAnsi"/>
              </w:rPr>
            </w:pPr>
            <w:r>
              <w:rPr>
                <w:rFonts w:eastAsiaTheme="minorHAnsi"/>
              </w:rPr>
              <w:t>1,08</w:t>
            </w:r>
            <w:r w:rsidR="00300F47">
              <w:rPr>
                <w:rFonts w:eastAsiaTheme="minorHAnsi"/>
              </w:rPr>
              <w:t>1</w:t>
            </w:r>
          </w:p>
        </w:tc>
        <w:tc>
          <w:tcPr>
            <w:tcW w:w="930" w:type="dxa"/>
          </w:tcPr>
          <w:p w14:paraId="755E7695" w14:textId="4E29296B" w:rsidR="00762925" w:rsidRDefault="00762925" w:rsidP="001315CE">
            <w:pPr>
              <w:pStyle w:val="Tabletext0"/>
              <w:rPr>
                <w:rFonts w:eastAsiaTheme="minorHAnsi"/>
              </w:rPr>
            </w:pPr>
            <w:r>
              <w:t>1,09</w:t>
            </w:r>
            <w:r w:rsidR="00300F47">
              <w:t>2</w:t>
            </w:r>
          </w:p>
        </w:tc>
        <w:tc>
          <w:tcPr>
            <w:tcW w:w="929" w:type="dxa"/>
          </w:tcPr>
          <w:p w14:paraId="43F8157C" w14:textId="1C26CDB5" w:rsidR="00762925" w:rsidRDefault="00762925" w:rsidP="001315CE">
            <w:pPr>
              <w:pStyle w:val="Tabletext0"/>
              <w:rPr>
                <w:rFonts w:eastAsiaTheme="minorHAnsi"/>
              </w:rPr>
            </w:pPr>
            <w:r>
              <w:t>1,10</w:t>
            </w:r>
            <w:r w:rsidR="00300F47">
              <w:t>3</w:t>
            </w:r>
          </w:p>
        </w:tc>
        <w:tc>
          <w:tcPr>
            <w:tcW w:w="930" w:type="dxa"/>
          </w:tcPr>
          <w:p w14:paraId="1F5D0A7E" w14:textId="17AE5872" w:rsidR="00762925" w:rsidRDefault="00762925" w:rsidP="001315CE">
            <w:pPr>
              <w:pStyle w:val="Tabletext0"/>
              <w:rPr>
                <w:rFonts w:eastAsiaTheme="minorHAnsi"/>
              </w:rPr>
            </w:pPr>
            <w:r>
              <w:t>1,11</w:t>
            </w:r>
            <w:r w:rsidR="00300F47">
              <w:t>4</w:t>
            </w:r>
          </w:p>
        </w:tc>
        <w:tc>
          <w:tcPr>
            <w:tcW w:w="930" w:type="dxa"/>
          </w:tcPr>
          <w:p w14:paraId="4F685273" w14:textId="1683D007" w:rsidR="00762925" w:rsidRPr="00345095" w:rsidRDefault="00762925" w:rsidP="001315CE">
            <w:pPr>
              <w:pStyle w:val="Tabletext0"/>
              <w:rPr>
                <w:rFonts w:eastAsiaTheme="minorHAnsi"/>
              </w:rPr>
            </w:pPr>
            <w:r>
              <w:rPr>
                <w:rFonts w:eastAsiaTheme="minorHAnsi"/>
              </w:rPr>
              <w:t>1,12</w:t>
            </w:r>
            <w:r w:rsidR="00300F47">
              <w:rPr>
                <w:rFonts w:eastAsiaTheme="minorHAnsi"/>
              </w:rPr>
              <w:t>5</w:t>
            </w:r>
          </w:p>
        </w:tc>
        <w:tc>
          <w:tcPr>
            <w:tcW w:w="930" w:type="dxa"/>
          </w:tcPr>
          <w:p w14:paraId="702FD4F9" w14:textId="59D06260" w:rsidR="00762925" w:rsidRDefault="00762925" w:rsidP="001315CE">
            <w:pPr>
              <w:pStyle w:val="Tabletext0"/>
              <w:rPr>
                <w:rFonts w:eastAsiaTheme="minorHAnsi"/>
              </w:rPr>
            </w:pPr>
            <w:r>
              <w:rPr>
                <w:rFonts w:eastAsiaTheme="minorHAnsi"/>
              </w:rPr>
              <w:t>1,13</w:t>
            </w:r>
            <w:r w:rsidR="00300F47">
              <w:rPr>
                <w:rFonts w:eastAsiaTheme="minorHAnsi"/>
              </w:rPr>
              <w:t>6</w:t>
            </w:r>
          </w:p>
        </w:tc>
      </w:tr>
    </w:tbl>
    <w:p w14:paraId="68446C51" w14:textId="28B8901D" w:rsidR="00300F47" w:rsidRDefault="00300F47" w:rsidP="00762925">
      <w:pPr>
        <w:pStyle w:val="TableFooter"/>
      </w:pPr>
      <w:r>
        <w:t xml:space="preserve">Source: DCAR Table 4, </w:t>
      </w:r>
      <w:r w:rsidR="00BD2275">
        <w:t>with updates</w:t>
      </w:r>
      <w:r>
        <w:t xml:space="preserve"> to correct rounding</w:t>
      </w:r>
      <w:r w:rsidR="00BD2275">
        <w:t>.</w:t>
      </w:r>
    </w:p>
    <w:p w14:paraId="50B58CF8" w14:textId="4B7D68D3" w:rsidR="00762925" w:rsidRDefault="00762925" w:rsidP="00762925">
      <w:pPr>
        <w:pStyle w:val="TableFooter"/>
      </w:pPr>
      <w:r>
        <w:t>* AIHW estimate of brain cancer incidence in 2021</w:t>
      </w:r>
    </w:p>
    <w:p w14:paraId="5FEDDA29" w14:textId="77777777" w:rsidR="00762925" w:rsidRPr="0048036F" w:rsidRDefault="00762925" w:rsidP="00762925">
      <w:pPr>
        <w:pStyle w:val="TableFooter"/>
      </w:pPr>
      <w:r w:rsidRPr="00B61A1A">
        <w:rPr>
          <w:rFonts w:eastAsiaTheme="minorHAnsi"/>
          <w:vertAlign w:val="superscript"/>
        </w:rPr>
        <w:t>†</w:t>
      </w:r>
      <w:r>
        <w:rPr>
          <w:rFonts w:eastAsiaTheme="minorHAnsi"/>
        </w:rPr>
        <w:t xml:space="preserve"> using percentage of brain cancers that are glial tumours identified by literature review</w:t>
      </w:r>
    </w:p>
    <w:p w14:paraId="44647BFC" w14:textId="1D4EE158" w:rsidR="00300F47" w:rsidRDefault="00300F47" w:rsidP="00300F47">
      <w:pPr>
        <w:pStyle w:val="TableFooter"/>
      </w:pPr>
      <w:r>
        <w:t>** using Applicant’s expert’s estimated 50% of patients with glioblastoma not requiring further genetic testing for a diagnosis</w:t>
      </w:r>
    </w:p>
    <w:p w14:paraId="590FF8F2" w14:textId="77777777" w:rsidR="00762925" w:rsidRPr="0044448D" w:rsidRDefault="00762925" w:rsidP="00762925">
      <w:pPr>
        <w:pStyle w:val="Instructionaltext-afterfiguretable"/>
        <w:jc w:val="both"/>
        <w:rPr>
          <w:rFonts w:cstheme="minorHAnsi"/>
          <w:color w:val="000000" w:themeColor="text1"/>
        </w:rPr>
      </w:pPr>
      <w:r w:rsidRPr="0044448D">
        <w:rPr>
          <w:rFonts w:cstheme="minorHAnsi"/>
          <w:color w:val="000000" w:themeColor="text1"/>
        </w:rPr>
        <w:t xml:space="preserve">The proposed Glioma Panel already appears to have largely replaced the use of stand-alone </w:t>
      </w:r>
      <w:r w:rsidRPr="0044448D">
        <w:rPr>
          <w:rFonts w:cstheme="minorHAnsi"/>
          <w:i/>
          <w:iCs/>
          <w:color w:val="000000" w:themeColor="text1"/>
        </w:rPr>
        <w:t xml:space="preserve">IDH1/2 </w:t>
      </w:r>
      <w:r w:rsidRPr="0044448D">
        <w:rPr>
          <w:rFonts w:cstheme="minorHAnsi"/>
          <w:color w:val="000000" w:themeColor="text1"/>
        </w:rPr>
        <w:t>testing (Item 73372) as panel usage in the period 1 January to 31 December 2021 was reported to be 659 tests conducted in New South Wales and Western Australia (with an unknown number tested at other potential sites e.g., in Victoria). MBS utilisation data were examined to determine the current usage of Items 73371, 73372 and 73373. A calendar year was used rather than financial year as these items were listed in May 2020 and a financial year approach may not reflect usage as accurately due to delays in commencing billing.</w:t>
      </w:r>
    </w:p>
    <w:p w14:paraId="05A08269" w14:textId="77777777" w:rsidR="00762925" w:rsidRPr="00502947" w:rsidRDefault="00762925" w:rsidP="00762925">
      <w:pPr>
        <w:rPr>
          <w:rFonts w:ascii="Franklin Gothic Book" w:hAnsi="Franklin Gothic Book"/>
          <w:sz w:val="22"/>
          <w:szCs w:val="22"/>
        </w:rPr>
      </w:pPr>
      <w:r w:rsidRPr="00502947">
        <w:rPr>
          <w:rFonts w:ascii="Franklin Gothic Book" w:hAnsi="Franklin Gothic Book"/>
          <w:sz w:val="22"/>
          <w:szCs w:val="22"/>
        </w:rPr>
        <w:t xml:space="preserve">From January 1-December 31, 2021, the </w:t>
      </w:r>
      <w:r>
        <w:rPr>
          <w:rFonts w:ascii="Franklin Gothic Book" w:hAnsi="Franklin Gothic Book"/>
          <w:sz w:val="22"/>
          <w:szCs w:val="22"/>
        </w:rPr>
        <w:t xml:space="preserve">MBS item </w:t>
      </w:r>
      <w:r w:rsidRPr="00502947">
        <w:rPr>
          <w:rFonts w:ascii="Franklin Gothic Book" w:hAnsi="Franklin Gothic Book"/>
          <w:sz w:val="22"/>
          <w:szCs w:val="22"/>
        </w:rPr>
        <w:t>usage was:</w:t>
      </w:r>
    </w:p>
    <w:p w14:paraId="79B7A978" w14:textId="77777777" w:rsidR="00762925" w:rsidRPr="00502947" w:rsidRDefault="00762925" w:rsidP="00762925">
      <w:pPr>
        <w:ind w:firstLine="720"/>
        <w:rPr>
          <w:rFonts w:ascii="Franklin Gothic Book" w:hAnsi="Franklin Gothic Book"/>
          <w:sz w:val="22"/>
          <w:szCs w:val="22"/>
        </w:rPr>
      </w:pPr>
      <w:r w:rsidRPr="00502947">
        <w:rPr>
          <w:rFonts w:ascii="Franklin Gothic Book" w:hAnsi="Franklin Gothic Book"/>
          <w:sz w:val="22"/>
          <w:szCs w:val="22"/>
        </w:rPr>
        <w:t>Item 73371</w:t>
      </w:r>
      <w:r w:rsidRPr="00502947">
        <w:rPr>
          <w:rFonts w:ascii="Franklin Gothic Book" w:hAnsi="Franklin Gothic Book"/>
          <w:sz w:val="22"/>
          <w:szCs w:val="22"/>
        </w:rPr>
        <w:tab/>
      </w:r>
      <w:r w:rsidRPr="00502947">
        <w:rPr>
          <w:rFonts w:ascii="Franklin Gothic Book" w:hAnsi="Franklin Gothic Book"/>
          <w:sz w:val="22"/>
          <w:szCs w:val="22"/>
        </w:rPr>
        <w:tab/>
        <w:t xml:space="preserve">139 </w:t>
      </w:r>
    </w:p>
    <w:p w14:paraId="15ED4AB2" w14:textId="77777777" w:rsidR="00762925" w:rsidRPr="00502947" w:rsidRDefault="00762925" w:rsidP="00762925">
      <w:pPr>
        <w:ind w:firstLine="720"/>
        <w:rPr>
          <w:rFonts w:ascii="Franklin Gothic Book" w:hAnsi="Franklin Gothic Book"/>
          <w:sz w:val="22"/>
          <w:szCs w:val="22"/>
        </w:rPr>
      </w:pPr>
      <w:r w:rsidRPr="00502947">
        <w:rPr>
          <w:rFonts w:ascii="Franklin Gothic Book" w:hAnsi="Franklin Gothic Book"/>
          <w:sz w:val="22"/>
          <w:szCs w:val="22"/>
        </w:rPr>
        <w:t>Item 73372</w:t>
      </w:r>
      <w:r w:rsidRPr="00502947">
        <w:rPr>
          <w:rFonts w:ascii="Franklin Gothic Book" w:hAnsi="Franklin Gothic Book"/>
          <w:sz w:val="22"/>
          <w:szCs w:val="22"/>
        </w:rPr>
        <w:tab/>
      </w:r>
      <w:r w:rsidRPr="00502947">
        <w:rPr>
          <w:rFonts w:ascii="Franklin Gothic Book" w:hAnsi="Franklin Gothic Book"/>
          <w:sz w:val="22"/>
          <w:szCs w:val="22"/>
        </w:rPr>
        <w:tab/>
        <w:t>203</w:t>
      </w:r>
    </w:p>
    <w:p w14:paraId="4B5749EF" w14:textId="77777777" w:rsidR="00762925" w:rsidRPr="00502947" w:rsidRDefault="00762925" w:rsidP="00762925">
      <w:pPr>
        <w:ind w:firstLine="720"/>
        <w:rPr>
          <w:rFonts w:ascii="Franklin Gothic Book" w:hAnsi="Franklin Gothic Book"/>
          <w:sz w:val="22"/>
          <w:szCs w:val="22"/>
        </w:rPr>
      </w:pPr>
      <w:r w:rsidRPr="00502947">
        <w:rPr>
          <w:rFonts w:ascii="Franklin Gothic Book" w:hAnsi="Franklin Gothic Book"/>
          <w:sz w:val="22"/>
          <w:szCs w:val="22"/>
        </w:rPr>
        <w:t>Item 73373</w:t>
      </w:r>
      <w:r w:rsidRPr="00502947">
        <w:rPr>
          <w:rFonts w:ascii="Franklin Gothic Book" w:hAnsi="Franklin Gothic Book"/>
          <w:sz w:val="22"/>
          <w:szCs w:val="22"/>
        </w:rPr>
        <w:tab/>
      </w:r>
      <w:r w:rsidRPr="00502947">
        <w:rPr>
          <w:rFonts w:ascii="Franklin Gothic Book" w:hAnsi="Franklin Gothic Book"/>
          <w:sz w:val="22"/>
          <w:szCs w:val="22"/>
        </w:rPr>
        <w:tab/>
        <w:t>265</w:t>
      </w:r>
    </w:p>
    <w:p w14:paraId="6EBC234C" w14:textId="77777777" w:rsidR="00762925" w:rsidRPr="00502947" w:rsidRDefault="00762925" w:rsidP="00762925">
      <w:pPr>
        <w:pStyle w:val="Instructionaltext"/>
        <w:spacing w:after="0"/>
        <w:contextualSpacing/>
        <w:rPr>
          <w:color w:val="000000" w:themeColor="text1"/>
        </w:rPr>
      </w:pPr>
      <w:r w:rsidRPr="00502947">
        <w:tab/>
      </w:r>
      <w:r w:rsidRPr="00502947">
        <w:rPr>
          <w:color w:val="000000" w:themeColor="text1"/>
        </w:rPr>
        <w:t>Glioma Panel</w:t>
      </w:r>
      <w:r w:rsidRPr="00502947">
        <w:rPr>
          <w:color w:val="000000" w:themeColor="text1"/>
        </w:rPr>
        <w:tab/>
      </w:r>
      <w:r w:rsidRPr="00502947">
        <w:rPr>
          <w:color w:val="000000" w:themeColor="text1"/>
        </w:rPr>
        <w:tab/>
        <w:t>659</w:t>
      </w:r>
    </w:p>
    <w:p w14:paraId="42A313C5" w14:textId="77777777" w:rsidR="00762925" w:rsidRPr="00646DA8" w:rsidRDefault="00762925" w:rsidP="00762925">
      <w:pPr>
        <w:pStyle w:val="Instructionaltext-afterfiguretable"/>
        <w:jc w:val="both"/>
        <w:rPr>
          <w:rFonts w:cstheme="minorHAnsi"/>
          <w:color w:val="000000" w:themeColor="text1"/>
        </w:rPr>
      </w:pPr>
      <w:r w:rsidRPr="00FC5159">
        <w:rPr>
          <w:rFonts w:cstheme="minorHAnsi"/>
          <w:color w:val="000000" w:themeColor="text1"/>
        </w:rPr>
        <w:t>Overall, these very low numbers and the absence of billing for the services in first half of 2021</w:t>
      </w:r>
      <w:r w:rsidRPr="00841252">
        <w:rPr>
          <w:rFonts w:cstheme="minorHAnsi"/>
          <w:color w:val="000000" w:themeColor="text1"/>
        </w:rPr>
        <w:t xml:space="preserve"> cannot be adequately explained. It is possible these tests were funded by an alternative source. From these data, it is not possible to determine the proportion of patients eligible for testing who actually received testing, as one patient may </w:t>
      </w:r>
      <w:r w:rsidRPr="001919A1">
        <w:rPr>
          <w:rFonts w:cstheme="minorHAnsi"/>
          <w:color w:val="000000" w:themeColor="text1"/>
        </w:rPr>
        <w:t>claim services under more than one MBS item and may have had this testing prior to panel testing</w:t>
      </w:r>
      <w:r w:rsidRPr="00646DA8">
        <w:rPr>
          <w:rFonts w:cstheme="minorHAnsi"/>
          <w:color w:val="000000" w:themeColor="text1"/>
        </w:rPr>
        <w:t xml:space="preserve">. </w:t>
      </w:r>
    </w:p>
    <w:p w14:paraId="053A3B78" w14:textId="77777777" w:rsidR="00762925" w:rsidRPr="0044448D" w:rsidRDefault="00762925" w:rsidP="00762925">
      <w:pPr>
        <w:pStyle w:val="Instructionaltext-afterfiguretable"/>
        <w:jc w:val="both"/>
        <w:rPr>
          <w:rFonts w:cstheme="minorHAnsi"/>
          <w:color w:val="000000" w:themeColor="text1"/>
        </w:rPr>
      </w:pPr>
      <w:r w:rsidRPr="002A233E">
        <w:rPr>
          <w:rFonts w:cstheme="minorHAnsi"/>
          <w:color w:val="000000" w:themeColor="text1"/>
        </w:rPr>
        <w:t>A conser</w:t>
      </w:r>
      <w:r w:rsidRPr="00F11ED6">
        <w:rPr>
          <w:rFonts w:cstheme="minorHAnsi"/>
          <w:color w:val="000000" w:themeColor="text1"/>
        </w:rPr>
        <w:t>vative approach has therefore been taken</w:t>
      </w:r>
      <w:r w:rsidRPr="0044448D">
        <w:rPr>
          <w:rFonts w:cstheme="minorHAnsi"/>
          <w:color w:val="000000" w:themeColor="text1"/>
        </w:rPr>
        <w:t xml:space="preserve">, assuming all eligible patients access molecular testing (compared with the uptake in 2021 among 659/1060 (62%) eligible patients), providing an upper limit of the likely financial impact on the MBS. If the panel is expanded to be comprehensive, and includes predictive biomarkers, a proportion of the patients with </w:t>
      </w:r>
      <w:r w:rsidRPr="0044448D">
        <w:rPr>
          <w:rFonts w:cstheme="minorHAnsi"/>
          <w:i/>
          <w:iCs/>
          <w:color w:val="000000" w:themeColor="text1"/>
        </w:rPr>
        <w:t>IDH</w:t>
      </w:r>
      <w:r w:rsidRPr="0044448D">
        <w:rPr>
          <w:rFonts w:cstheme="minorHAnsi"/>
          <w:color w:val="000000" w:themeColor="text1"/>
        </w:rPr>
        <w:t>-wildtype WHO grade 4 glioblastoma may seek testing, but the conservative approach taken in calculating the financial impact is considered likely to capture the small proportion of these patients who might access testing should it be publicly funded under the MBS.</w:t>
      </w:r>
    </w:p>
    <w:p w14:paraId="26082856" w14:textId="66556FC2" w:rsidR="00762925" w:rsidRPr="00CE28E3" w:rsidRDefault="00F94444" w:rsidP="00762925">
      <w:pPr>
        <w:pStyle w:val="Heading2"/>
        <w:numPr>
          <w:ilvl w:val="0"/>
          <w:numId w:val="0"/>
        </w:numPr>
      </w:pPr>
      <w:bookmarkStart w:id="26" w:name="_Toc97723467"/>
      <w:r>
        <w:lastRenderedPageBreak/>
        <w:t>8</w:t>
      </w:r>
      <w:r w:rsidR="00762925">
        <w:t>.</w:t>
      </w:r>
      <w:r w:rsidR="00762925">
        <w:tab/>
      </w:r>
      <w:r w:rsidR="00762925" w:rsidRPr="00CE28E3">
        <w:t>Comparator</w:t>
      </w:r>
      <w:bookmarkEnd w:id="26"/>
    </w:p>
    <w:p w14:paraId="2200387F" w14:textId="77777777" w:rsidR="00762925" w:rsidRDefault="00762925" w:rsidP="00762925">
      <w:pPr>
        <w:pStyle w:val="Instructionaltext"/>
        <w:jc w:val="both"/>
        <w:rPr>
          <w:color w:val="000000" w:themeColor="text1"/>
        </w:rPr>
      </w:pPr>
      <w:r>
        <w:rPr>
          <w:color w:val="000000" w:themeColor="text1"/>
        </w:rPr>
        <w:t>The</w:t>
      </w:r>
      <w:r w:rsidRPr="00A63E81">
        <w:rPr>
          <w:color w:val="000000" w:themeColor="text1"/>
        </w:rPr>
        <w:t xml:space="preserve"> comparator</w:t>
      </w:r>
      <w:r>
        <w:rPr>
          <w:color w:val="000000" w:themeColor="text1"/>
        </w:rPr>
        <w:t xml:space="preserve"> is testing undertaken using Items 73371 and 73372, compared with replacement of Item 73372 and a reduction in the usage of Item </w:t>
      </w:r>
      <w:r w:rsidRPr="00A63E81">
        <w:rPr>
          <w:color w:val="000000" w:themeColor="text1"/>
        </w:rPr>
        <w:t xml:space="preserve">73372 usage </w:t>
      </w:r>
      <w:r>
        <w:rPr>
          <w:color w:val="000000" w:themeColor="text1"/>
        </w:rPr>
        <w:t>with the introduction of</w:t>
      </w:r>
      <w:r w:rsidRPr="00A63E81">
        <w:rPr>
          <w:color w:val="000000" w:themeColor="text1"/>
        </w:rPr>
        <w:t xml:space="preserve"> the Glioma Panel. </w:t>
      </w:r>
    </w:p>
    <w:p w14:paraId="7D841E06" w14:textId="6E44B206" w:rsidR="00762925" w:rsidRPr="00017D82" w:rsidRDefault="00762925" w:rsidP="00762925">
      <w:pPr>
        <w:pStyle w:val="Instructionaltext"/>
        <w:jc w:val="both"/>
        <w:rPr>
          <w:color w:val="000000" w:themeColor="text1"/>
        </w:rPr>
      </w:pPr>
      <w:r w:rsidRPr="00336498">
        <w:rPr>
          <w:color w:val="000000" w:themeColor="text1"/>
        </w:rPr>
        <w:t>The Applicant describe</w:t>
      </w:r>
      <w:r>
        <w:rPr>
          <w:color w:val="000000" w:themeColor="text1"/>
        </w:rPr>
        <w:t>d</w:t>
      </w:r>
      <w:r w:rsidRPr="00336498">
        <w:rPr>
          <w:color w:val="000000" w:themeColor="text1"/>
        </w:rPr>
        <w:t xml:space="preserve"> the current diagnostic process </w:t>
      </w:r>
      <w:r>
        <w:rPr>
          <w:color w:val="000000" w:themeColor="text1"/>
        </w:rPr>
        <w:t>with the currently approved</w:t>
      </w:r>
      <w:r w:rsidRPr="00336498">
        <w:rPr>
          <w:color w:val="000000" w:themeColor="text1"/>
        </w:rPr>
        <w:t xml:space="preserve"> Items 73371</w:t>
      </w:r>
      <w:r>
        <w:rPr>
          <w:color w:val="000000" w:themeColor="text1"/>
        </w:rPr>
        <w:t xml:space="preserve">, </w:t>
      </w:r>
      <w:r w:rsidRPr="00336498">
        <w:rPr>
          <w:color w:val="000000" w:themeColor="text1"/>
        </w:rPr>
        <w:t>73372</w:t>
      </w:r>
      <w:r>
        <w:rPr>
          <w:color w:val="000000" w:themeColor="text1"/>
        </w:rPr>
        <w:t xml:space="preserve"> and 73373 after a brain tumour is identified and a biopsy taken, and depicted the </w:t>
      </w:r>
      <w:r w:rsidRPr="00017D82">
        <w:rPr>
          <w:color w:val="000000" w:themeColor="text1"/>
        </w:rPr>
        <w:t>algorithm if the proposed genetic testing were not available</w:t>
      </w:r>
      <w:r>
        <w:rPr>
          <w:color w:val="000000" w:themeColor="text1"/>
        </w:rPr>
        <w:t xml:space="preserve">. </w:t>
      </w:r>
      <w:r w:rsidRPr="00017D82">
        <w:rPr>
          <w:color w:val="000000" w:themeColor="text1"/>
        </w:rPr>
        <w:t xml:space="preserve"> </w:t>
      </w:r>
      <w:r>
        <w:rPr>
          <w:rFonts w:cstheme="minorHAnsi"/>
          <w:color w:val="000000" w:themeColor="text1"/>
        </w:rPr>
        <w:t>G</w:t>
      </w:r>
      <w:r w:rsidRPr="00017D82">
        <w:rPr>
          <w:rFonts w:cstheme="minorHAnsi"/>
          <w:color w:val="000000" w:themeColor="text1"/>
        </w:rPr>
        <w:t>iven the current clinical management pathway already incorporates the proposed genetic testing as the standard of care</w:t>
      </w:r>
      <w:r>
        <w:rPr>
          <w:rFonts w:cstheme="minorHAnsi"/>
          <w:color w:val="000000" w:themeColor="text1"/>
        </w:rPr>
        <w:t xml:space="preserve"> (659/1060 (62%) patients estimated to be eligible in 2021 had panel testing)</w:t>
      </w:r>
      <w:r w:rsidRPr="00017D82">
        <w:rPr>
          <w:rFonts w:cstheme="minorHAnsi"/>
          <w:color w:val="000000" w:themeColor="text1"/>
        </w:rPr>
        <w:t xml:space="preserve">, the HTA group revised this algorithm to reflect current clinical practice and utilisation </w:t>
      </w:r>
      <w:r w:rsidRPr="00017D82">
        <w:rPr>
          <w:color w:val="000000" w:themeColor="text1"/>
        </w:rPr>
        <w:t>(</w:t>
      </w:r>
      <w:r w:rsidRPr="00017D82">
        <w:rPr>
          <w:color w:val="000000" w:themeColor="text1"/>
        </w:rPr>
        <w:fldChar w:fldCharType="begin"/>
      </w:r>
      <w:r w:rsidRPr="00017D82">
        <w:rPr>
          <w:color w:val="000000" w:themeColor="text1"/>
        </w:rPr>
        <w:instrText xml:space="preserve"> REF _Ref95672639 \h  \* MERGEFORMAT </w:instrText>
      </w:r>
      <w:r w:rsidRPr="00017D82">
        <w:rPr>
          <w:color w:val="000000" w:themeColor="text1"/>
        </w:rPr>
      </w:r>
      <w:r w:rsidRPr="00017D82">
        <w:rPr>
          <w:color w:val="000000" w:themeColor="text1"/>
        </w:rPr>
        <w:fldChar w:fldCharType="separate"/>
      </w:r>
      <w:r w:rsidR="00C00851" w:rsidRPr="00C00851">
        <w:rPr>
          <w:color w:val="000000" w:themeColor="text1"/>
        </w:rPr>
        <w:t xml:space="preserve">Figure </w:t>
      </w:r>
      <w:r w:rsidR="00C00851" w:rsidRPr="00C00851">
        <w:rPr>
          <w:noProof/>
          <w:color w:val="000000" w:themeColor="text1"/>
        </w:rPr>
        <w:t>1</w:t>
      </w:r>
      <w:r w:rsidRPr="00017D82">
        <w:rPr>
          <w:color w:val="000000" w:themeColor="text1"/>
        </w:rPr>
        <w:fldChar w:fldCharType="end"/>
      </w:r>
      <w:r w:rsidRPr="00017D82">
        <w:rPr>
          <w:color w:val="000000" w:themeColor="text1"/>
        </w:rPr>
        <w:t>)</w:t>
      </w:r>
      <w:r w:rsidRPr="00017D82">
        <w:rPr>
          <w:rFonts w:cstheme="minorHAnsi"/>
          <w:color w:val="000000" w:themeColor="text1"/>
        </w:rPr>
        <w:t xml:space="preserve">. </w:t>
      </w:r>
      <w:r>
        <w:rPr>
          <w:color w:val="000000" w:themeColor="text1"/>
        </w:rPr>
        <w:t>The applicant provided a more detailed proposed algorithm with the panel testing intervention included</w:t>
      </w:r>
      <w:r w:rsidRPr="00017D82">
        <w:rPr>
          <w:color w:val="000000" w:themeColor="text1"/>
        </w:rPr>
        <w:t xml:space="preserve"> (</w:t>
      </w:r>
      <w:r w:rsidRPr="00017D82">
        <w:rPr>
          <w:color w:val="000000" w:themeColor="text1"/>
        </w:rPr>
        <w:fldChar w:fldCharType="begin"/>
      </w:r>
      <w:r w:rsidRPr="00017D82">
        <w:rPr>
          <w:color w:val="000000" w:themeColor="text1"/>
        </w:rPr>
        <w:instrText xml:space="preserve"> REF _Ref95681770 \h  \* MERGEFORMAT </w:instrText>
      </w:r>
      <w:r w:rsidRPr="00017D82">
        <w:rPr>
          <w:color w:val="000000" w:themeColor="text1"/>
        </w:rPr>
      </w:r>
      <w:r w:rsidRPr="00017D82">
        <w:rPr>
          <w:color w:val="000000" w:themeColor="text1"/>
        </w:rPr>
        <w:fldChar w:fldCharType="separate"/>
      </w:r>
      <w:r w:rsidR="00C00851" w:rsidRPr="00C00851">
        <w:rPr>
          <w:color w:val="000000" w:themeColor="text1"/>
        </w:rPr>
        <w:t xml:space="preserve">Figure </w:t>
      </w:r>
      <w:r w:rsidR="00C00851" w:rsidRPr="00C00851">
        <w:rPr>
          <w:noProof/>
          <w:color w:val="000000" w:themeColor="text1"/>
        </w:rPr>
        <w:t>2</w:t>
      </w:r>
      <w:r w:rsidRPr="00017D82">
        <w:rPr>
          <w:color w:val="000000" w:themeColor="text1"/>
        </w:rPr>
        <w:fldChar w:fldCharType="end"/>
      </w:r>
      <w:r w:rsidRPr="00017D82">
        <w:rPr>
          <w:color w:val="000000" w:themeColor="text1"/>
        </w:rPr>
        <w:t xml:space="preserve">). </w:t>
      </w:r>
    </w:p>
    <w:p w14:paraId="5080CDBB" w14:textId="77777777" w:rsidR="00762925" w:rsidRPr="003350D4" w:rsidRDefault="00762925" w:rsidP="00762925">
      <w:pPr>
        <w:pStyle w:val="ListParagraph"/>
        <w:spacing w:before="0" w:after="0" w:line="240" w:lineRule="auto"/>
        <w:ind w:left="786"/>
        <w:rPr>
          <w:rFonts w:cstheme="minorHAnsi"/>
        </w:rPr>
      </w:pPr>
    </w:p>
    <w:p w14:paraId="78615B04" w14:textId="77777777" w:rsidR="00762925" w:rsidRDefault="00762925" w:rsidP="00762925">
      <w:pPr>
        <w:keepNext/>
        <w:ind w:left="426"/>
        <w:jc w:val="center"/>
        <w:rPr>
          <w:szCs w:val="20"/>
        </w:rPr>
      </w:pPr>
      <w:r w:rsidRPr="00DA10E5">
        <w:rPr>
          <w:noProof/>
          <w:szCs w:val="20"/>
        </w:rPr>
        <w:drawing>
          <wp:inline distT="0" distB="0" distL="0" distR="0" wp14:anchorId="4C205E59" wp14:editId="70DC2916">
            <wp:extent cx="5731510" cy="4732655"/>
            <wp:effectExtent l="0" t="0" r="0" b="0"/>
            <wp:docPr id="1" name="Picture 1" descr="Current clinical algorithm for the diagnosis of brain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rrent clinical algorithm for the diagnosis of brain cancer"/>
                    <pic:cNvPicPr/>
                  </pic:nvPicPr>
                  <pic:blipFill>
                    <a:blip r:embed="rId9"/>
                    <a:stretch>
                      <a:fillRect/>
                    </a:stretch>
                  </pic:blipFill>
                  <pic:spPr>
                    <a:xfrm>
                      <a:off x="0" y="0"/>
                      <a:ext cx="5731510" cy="4732655"/>
                    </a:xfrm>
                    <a:prstGeom prst="rect">
                      <a:avLst/>
                    </a:prstGeom>
                  </pic:spPr>
                </pic:pic>
              </a:graphicData>
            </a:graphic>
          </wp:inline>
        </w:drawing>
      </w:r>
    </w:p>
    <w:p w14:paraId="49EDB1B9" w14:textId="452611D7" w:rsidR="00762925" w:rsidRPr="00DA10E5" w:rsidRDefault="00762925" w:rsidP="00762925">
      <w:pPr>
        <w:pStyle w:val="Caption"/>
        <w:jc w:val="both"/>
        <w:rPr>
          <w:sz w:val="22"/>
          <w:szCs w:val="22"/>
        </w:rPr>
      </w:pPr>
      <w:bookmarkStart w:id="27" w:name="_Ref95672639"/>
      <w:r>
        <w:t xml:space="preserve">Figure </w:t>
      </w:r>
      <w:fldSimple w:instr=" SEQ Figure \* ARABIC ">
        <w:r w:rsidR="00C00851">
          <w:rPr>
            <w:noProof/>
          </w:rPr>
          <w:t>1</w:t>
        </w:r>
      </w:fldSimple>
      <w:bookmarkEnd w:id="27"/>
      <w:r>
        <w:t xml:space="preserve"> Current clinical algorithm for the diagnosis of brain cancer.</w:t>
      </w:r>
      <w:r w:rsidRPr="00DA10E5">
        <w:rPr>
          <w:sz w:val="22"/>
          <w:szCs w:val="22"/>
        </w:rPr>
        <w:t xml:space="preserve"> </w:t>
      </w:r>
      <w:r w:rsidRPr="00DA10E5">
        <w:rPr>
          <w:rStyle w:val="TablenotesChar"/>
          <w:b w:val="0"/>
          <w:bCs w:val="0"/>
          <w:sz w:val="20"/>
          <w:szCs w:val="22"/>
        </w:rPr>
        <w:t>Genetic testing currently available under the MBS item numbers 73371, 7337</w:t>
      </w:r>
      <w:r>
        <w:rPr>
          <w:rStyle w:val="TablenotesChar"/>
          <w:b w:val="0"/>
          <w:bCs w:val="0"/>
          <w:sz w:val="20"/>
          <w:szCs w:val="22"/>
        </w:rPr>
        <w:t>2 and</w:t>
      </w:r>
      <w:r w:rsidRPr="00DA10E5">
        <w:rPr>
          <w:rStyle w:val="TablenotesChar"/>
          <w:b w:val="0"/>
          <w:bCs w:val="0"/>
          <w:sz w:val="20"/>
          <w:szCs w:val="22"/>
        </w:rPr>
        <w:t xml:space="preserve"> 73373 </w:t>
      </w:r>
      <w:r>
        <w:rPr>
          <w:rStyle w:val="TablenotesChar"/>
          <w:b w:val="0"/>
          <w:bCs w:val="0"/>
          <w:sz w:val="20"/>
          <w:szCs w:val="22"/>
        </w:rPr>
        <w:t xml:space="preserve">is shown in </w:t>
      </w:r>
      <w:r w:rsidRPr="00DA10E5">
        <w:rPr>
          <w:rStyle w:val="TablenotesChar"/>
          <w:b w:val="0"/>
          <w:bCs w:val="0"/>
          <w:sz w:val="20"/>
          <w:szCs w:val="22"/>
        </w:rPr>
        <w:t>blue boxes</w:t>
      </w:r>
      <w:r>
        <w:rPr>
          <w:rStyle w:val="TablenotesChar"/>
          <w:b w:val="0"/>
          <w:bCs w:val="0"/>
          <w:sz w:val="20"/>
          <w:szCs w:val="22"/>
        </w:rPr>
        <w:t>,</w:t>
      </w:r>
      <w:r w:rsidRPr="00DA10E5">
        <w:rPr>
          <w:rStyle w:val="TablenotesChar"/>
          <w:b w:val="0"/>
          <w:bCs w:val="0"/>
          <w:sz w:val="20"/>
          <w:szCs w:val="22"/>
        </w:rPr>
        <w:t xml:space="preserve"> and non-MBS</w:t>
      </w:r>
      <w:r>
        <w:rPr>
          <w:rStyle w:val="TablenotesChar"/>
          <w:b w:val="0"/>
          <w:bCs w:val="0"/>
          <w:sz w:val="20"/>
          <w:szCs w:val="22"/>
        </w:rPr>
        <w:t>-funded</w:t>
      </w:r>
      <w:r w:rsidRPr="00DA10E5">
        <w:rPr>
          <w:rStyle w:val="TablenotesChar"/>
          <w:b w:val="0"/>
          <w:bCs w:val="0"/>
          <w:sz w:val="20"/>
          <w:szCs w:val="22"/>
        </w:rPr>
        <w:t xml:space="preserve"> single genetic testing or Glioma Panel testing </w:t>
      </w:r>
      <w:r>
        <w:rPr>
          <w:rStyle w:val="TablenotesChar"/>
          <w:b w:val="0"/>
          <w:bCs w:val="0"/>
          <w:sz w:val="20"/>
          <w:szCs w:val="22"/>
        </w:rPr>
        <w:t xml:space="preserve">is shown in </w:t>
      </w:r>
      <w:r w:rsidRPr="00DA10E5">
        <w:rPr>
          <w:rStyle w:val="TablenotesChar"/>
          <w:b w:val="0"/>
          <w:bCs w:val="0"/>
          <w:sz w:val="20"/>
          <w:szCs w:val="22"/>
        </w:rPr>
        <w:t xml:space="preserve">red boxes or </w:t>
      </w:r>
      <w:r>
        <w:rPr>
          <w:rStyle w:val="TablenotesChar"/>
          <w:b w:val="0"/>
          <w:bCs w:val="0"/>
          <w:sz w:val="20"/>
          <w:szCs w:val="22"/>
        </w:rPr>
        <w:t xml:space="preserve">red </w:t>
      </w:r>
      <w:r w:rsidRPr="00DA10E5">
        <w:rPr>
          <w:rStyle w:val="TablenotesChar"/>
          <w:b w:val="0"/>
          <w:bCs w:val="0"/>
          <w:sz w:val="20"/>
          <w:szCs w:val="22"/>
        </w:rPr>
        <w:t>highlight</w:t>
      </w:r>
      <w:r>
        <w:rPr>
          <w:rStyle w:val="TablenotesChar"/>
          <w:b w:val="0"/>
          <w:bCs w:val="0"/>
          <w:sz w:val="20"/>
          <w:szCs w:val="22"/>
        </w:rPr>
        <w:t>.</w:t>
      </w:r>
    </w:p>
    <w:p w14:paraId="3EC7D70E" w14:textId="77777777" w:rsidR="00762925" w:rsidRDefault="00762925" w:rsidP="00762925">
      <w:pPr>
        <w:pStyle w:val="Tablenotes0"/>
        <w:rPr>
          <w:rFonts w:ascii="Franklin Gothic Book" w:hAnsi="Franklin Gothic Book"/>
          <w:iCs/>
          <w:szCs w:val="20"/>
        </w:rPr>
      </w:pPr>
      <w:r w:rsidRPr="00DA10E5">
        <w:rPr>
          <w:sz w:val="20"/>
          <w:szCs w:val="24"/>
        </w:rPr>
        <w:t xml:space="preserve">Source: adapted from Application </w:t>
      </w:r>
      <w:r w:rsidRPr="00DA10E5">
        <w:rPr>
          <w:bCs/>
          <w:sz w:val="20"/>
          <w:szCs w:val="24"/>
        </w:rPr>
        <w:t xml:space="preserve">form </w:t>
      </w:r>
      <w:r w:rsidRPr="00DA10E5">
        <w:rPr>
          <w:sz w:val="20"/>
          <w:szCs w:val="24"/>
        </w:rPr>
        <w:t>1709 p.15.</w:t>
      </w:r>
      <w:r>
        <w:rPr>
          <w:rFonts w:ascii="Franklin Gothic Book" w:hAnsi="Franklin Gothic Book"/>
          <w:iCs/>
          <w:szCs w:val="20"/>
        </w:rPr>
        <w:tab/>
      </w:r>
    </w:p>
    <w:p w14:paraId="13920D8E" w14:textId="77777777" w:rsidR="00762925" w:rsidRPr="00677927" w:rsidRDefault="00762925" w:rsidP="00762925">
      <w:pPr>
        <w:jc w:val="both"/>
        <w:rPr>
          <w:rFonts w:ascii="Franklin Gothic Book" w:hAnsi="Franklin Gothic Book"/>
          <w:sz w:val="22"/>
          <w:szCs w:val="22"/>
        </w:rPr>
      </w:pPr>
      <w:r w:rsidRPr="00677927">
        <w:rPr>
          <w:rFonts w:ascii="Franklin Gothic Book" w:hAnsi="Franklin Gothic Book"/>
          <w:sz w:val="22"/>
          <w:szCs w:val="22"/>
        </w:rPr>
        <w:t xml:space="preserve">The Applicant indicated the appropriate comparator would be histological examination of a biopsy or tumour resection sample, immunohistochemistry for IDH1 (R132H), followed by sequential gene </w:t>
      </w:r>
      <w:r w:rsidRPr="00677927">
        <w:rPr>
          <w:rFonts w:ascii="Franklin Gothic Book" w:hAnsi="Franklin Gothic Book"/>
          <w:sz w:val="22"/>
          <w:szCs w:val="22"/>
        </w:rPr>
        <w:lastRenderedPageBreak/>
        <w:t xml:space="preserve">testing for non-canonical </w:t>
      </w:r>
      <w:r w:rsidRPr="00491D55">
        <w:rPr>
          <w:rFonts w:ascii="Franklin Gothic Book" w:hAnsi="Franklin Gothic Book"/>
          <w:i/>
          <w:iCs/>
          <w:sz w:val="22"/>
          <w:szCs w:val="22"/>
        </w:rPr>
        <w:t>IDH1</w:t>
      </w:r>
      <w:r w:rsidRPr="00677927">
        <w:rPr>
          <w:rFonts w:ascii="Franklin Gothic Book" w:hAnsi="Franklin Gothic Book"/>
          <w:sz w:val="22"/>
          <w:szCs w:val="22"/>
        </w:rPr>
        <w:t xml:space="preserve"> or </w:t>
      </w:r>
      <w:r w:rsidRPr="00491D55">
        <w:rPr>
          <w:rFonts w:ascii="Franklin Gothic Book" w:hAnsi="Franklin Gothic Book"/>
          <w:i/>
          <w:iCs/>
          <w:sz w:val="22"/>
          <w:szCs w:val="22"/>
        </w:rPr>
        <w:t>IDH2</w:t>
      </w:r>
      <w:r w:rsidRPr="00677927">
        <w:rPr>
          <w:rFonts w:ascii="Franklin Gothic Book" w:hAnsi="Franklin Gothic Book"/>
          <w:sz w:val="22"/>
          <w:szCs w:val="22"/>
        </w:rPr>
        <w:t xml:space="preserve"> mutations, and 1p/19q co-deletion testing. In glioblastomas </w:t>
      </w:r>
      <w:r w:rsidRPr="00677927">
        <w:rPr>
          <w:rStyle w:val="Emphasis"/>
          <w:rFonts w:ascii="Franklin Gothic Book" w:hAnsi="Franklin Gothic Book"/>
          <w:sz w:val="22"/>
          <w:szCs w:val="22"/>
        </w:rPr>
        <w:t>MGMT</w:t>
      </w:r>
      <w:r w:rsidRPr="00677927">
        <w:rPr>
          <w:rFonts w:ascii="Franklin Gothic Book" w:hAnsi="Franklin Gothic Book"/>
          <w:sz w:val="22"/>
          <w:szCs w:val="22"/>
        </w:rPr>
        <w:t xml:space="preserve"> promoter methylation status would follow.</w:t>
      </w:r>
    </w:p>
    <w:p w14:paraId="651EAF6A" w14:textId="77777777" w:rsidR="00762925" w:rsidRPr="00677927" w:rsidRDefault="00762925" w:rsidP="00762925">
      <w:pPr>
        <w:pStyle w:val="Instructionaltext"/>
        <w:jc w:val="both"/>
        <w:rPr>
          <w:rFonts w:cstheme="minorHAnsi"/>
          <w:color w:val="000000" w:themeColor="text1"/>
        </w:rPr>
      </w:pPr>
      <w:r w:rsidRPr="00677927">
        <w:rPr>
          <w:rFonts w:cstheme="minorHAnsi"/>
          <w:color w:val="000000" w:themeColor="text1"/>
        </w:rPr>
        <w:t xml:space="preserve">The </w:t>
      </w:r>
      <w:r>
        <w:rPr>
          <w:rFonts w:cstheme="minorHAnsi"/>
          <w:color w:val="000000" w:themeColor="text1"/>
        </w:rPr>
        <w:t>application</w:t>
      </w:r>
      <w:r w:rsidRPr="00677927">
        <w:rPr>
          <w:rFonts w:cstheme="minorHAnsi"/>
          <w:color w:val="000000" w:themeColor="text1"/>
        </w:rPr>
        <w:t xml:space="preserve"> </w:t>
      </w:r>
      <w:r>
        <w:rPr>
          <w:rFonts w:cstheme="minorHAnsi"/>
          <w:color w:val="000000" w:themeColor="text1"/>
        </w:rPr>
        <w:t xml:space="preserve">form </w:t>
      </w:r>
      <w:r w:rsidRPr="00677927">
        <w:rPr>
          <w:rFonts w:cstheme="minorHAnsi"/>
          <w:color w:val="000000" w:themeColor="text1"/>
        </w:rPr>
        <w:t xml:space="preserve">indicated the multi-gene panel would be used both in addition to and instead </w:t>
      </w:r>
      <w:r>
        <w:rPr>
          <w:rFonts w:cstheme="minorHAnsi"/>
          <w:color w:val="000000" w:themeColor="text1"/>
        </w:rPr>
        <w:t xml:space="preserve">of </w:t>
      </w:r>
      <w:r w:rsidRPr="00677927">
        <w:rPr>
          <w:rFonts w:cstheme="minorHAnsi"/>
          <w:color w:val="000000" w:themeColor="text1"/>
        </w:rPr>
        <w:t xml:space="preserve">services provided under existing items 73371 and 73372. </w:t>
      </w:r>
    </w:p>
    <w:p w14:paraId="653C6380" w14:textId="77777777" w:rsidR="00762925" w:rsidRPr="00677927" w:rsidRDefault="00762925" w:rsidP="00762925">
      <w:pPr>
        <w:pStyle w:val="Instructionaltext"/>
        <w:rPr>
          <w:rFonts w:cstheme="minorHAnsi"/>
          <w:color w:val="000000" w:themeColor="text1"/>
        </w:rPr>
      </w:pPr>
      <w:r w:rsidRPr="00677927">
        <w:rPr>
          <w:rFonts w:cstheme="minorHAnsi"/>
          <w:color w:val="000000" w:themeColor="text1"/>
        </w:rPr>
        <w:t xml:space="preserve">The </w:t>
      </w:r>
      <w:r>
        <w:rPr>
          <w:rFonts w:cstheme="minorHAnsi"/>
          <w:color w:val="000000" w:themeColor="text1"/>
        </w:rPr>
        <w:t xml:space="preserve">application form </w:t>
      </w:r>
      <w:r w:rsidRPr="00677927">
        <w:rPr>
          <w:rFonts w:cstheme="minorHAnsi"/>
          <w:color w:val="000000" w:themeColor="text1"/>
        </w:rPr>
        <w:t>states,</w:t>
      </w:r>
    </w:p>
    <w:p w14:paraId="58C21837" w14:textId="77777777" w:rsidR="00762925" w:rsidRPr="00E1742F" w:rsidRDefault="00762925" w:rsidP="00762925">
      <w:pPr>
        <w:pStyle w:val="Instructionaltext"/>
        <w:ind w:left="720"/>
        <w:jc w:val="both"/>
        <w:rPr>
          <w:rFonts w:cstheme="minorHAnsi"/>
          <w:i/>
          <w:iCs/>
          <w:color w:val="000000" w:themeColor="text1"/>
        </w:rPr>
      </w:pPr>
      <w:r w:rsidRPr="00A07C25">
        <w:rPr>
          <w:rFonts w:cstheme="minorHAnsi"/>
          <w:i/>
          <w:iCs/>
          <w:color w:val="000000" w:themeColor="text1"/>
          <w:szCs w:val="20"/>
        </w:rPr>
        <w:t xml:space="preserve">‘Sequential, single gene testing using MBS item numbers 73371, 73372 or 73373 depending on tumour type can be conducted; however, </w:t>
      </w:r>
      <w:r w:rsidRPr="00A07C25">
        <w:rPr>
          <w:rFonts w:cstheme="minorHAnsi"/>
          <w:i/>
          <w:iCs/>
          <w:noProof/>
          <w:color w:val="000000" w:themeColor="text1"/>
        </w:rPr>
        <w:t>stepwise</w:t>
      </w:r>
      <w:r w:rsidRPr="00A07C25">
        <w:rPr>
          <w:rFonts w:cstheme="minorHAnsi"/>
          <w:i/>
          <w:iCs/>
          <w:color w:val="000000" w:themeColor="text1"/>
          <w:szCs w:val="20"/>
        </w:rPr>
        <w:t xml:space="preserve"> testing would reflex to the panel, which combined with testing for other appropriate variants provides more comprehensive testing, providing results in a shorter timeframe. Single gene testing may still be requested by clinicians and conducted by some laboratories, particularly as some laboratories have spent time and resources establishing single gene or small NGS panels in combination with 1p/19q and EGFR FISH for glioma diagnosis’</w:t>
      </w:r>
    </w:p>
    <w:p w14:paraId="77E396E1" w14:textId="56D543BC" w:rsidR="00762925" w:rsidRPr="0044448D" w:rsidRDefault="00762925" w:rsidP="00762925">
      <w:pPr>
        <w:pStyle w:val="Instructionaltext-afterfiguretable"/>
        <w:jc w:val="both"/>
        <w:rPr>
          <w:rFonts w:cstheme="minorHAnsi"/>
          <w:color w:val="000000" w:themeColor="text1"/>
        </w:rPr>
      </w:pPr>
      <w:r w:rsidRPr="0044448D">
        <w:rPr>
          <w:rFonts w:cstheme="minorHAnsi"/>
          <w:color w:val="000000" w:themeColor="text1"/>
        </w:rPr>
        <w:t>The Applicant proposes the following clinical management algorithm with incorporation of the Glioma panel (</w:t>
      </w:r>
      <w:r w:rsidRPr="0044448D">
        <w:rPr>
          <w:rFonts w:cstheme="minorHAnsi"/>
          <w:color w:val="000000" w:themeColor="text1"/>
        </w:rPr>
        <w:fldChar w:fldCharType="begin"/>
      </w:r>
      <w:r w:rsidRPr="0044448D">
        <w:rPr>
          <w:rFonts w:cstheme="minorHAnsi"/>
          <w:color w:val="000000" w:themeColor="text1"/>
        </w:rPr>
        <w:instrText xml:space="preserve"> REF _Ref95681770 \h  \* MERGEFORMAT </w:instrText>
      </w:r>
      <w:r w:rsidRPr="0044448D">
        <w:rPr>
          <w:rFonts w:cstheme="minorHAnsi"/>
          <w:color w:val="000000" w:themeColor="text1"/>
        </w:rPr>
      </w:r>
      <w:r w:rsidRPr="0044448D">
        <w:rPr>
          <w:rFonts w:cstheme="minorHAnsi"/>
          <w:color w:val="000000" w:themeColor="text1"/>
        </w:rPr>
        <w:fldChar w:fldCharType="separate"/>
      </w:r>
      <w:r w:rsidR="00C00851" w:rsidRPr="00C00851">
        <w:rPr>
          <w:rFonts w:cstheme="minorHAnsi"/>
          <w:color w:val="000000" w:themeColor="text1"/>
        </w:rPr>
        <w:t>Figure 2</w:t>
      </w:r>
      <w:r w:rsidRPr="0044448D">
        <w:rPr>
          <w:rFonts w:cstheme="minorHAnsi"/>
          <w:color w:val="000000" w:themeColor="text1"/>
        </w:rPr>
        <w:fldChar w:fldCharType="end"/>
      </w:r>
      <w:r w:rsidRPr="0044448D">
        <w:rPr>
          <w:rFonts w:cstheme="minorHAnsi"/>
          <w:color w:val="000000" w:themeColor="text1"/>
        </w:rPr>
        <w:t xml:space="preserve">). After tumour biopsy or resection and following initial histological review by a pathologist with IDH (R132H) immunohistochemistry, material from the biopsy (usually 5 x 10 micron sections of tumour) would be sent for NGS analysis. NGS analysis would usually be completed within 10 working days of receipt of specimen, and this would provide a ‘molecular overview’ of the tumour.  Currently, this testing can be accessed by a proportion of patients through alternative funding means, but there are issues of equity and out-of-pocket cost to the patient. </w:t>
      </w:r>
    </w:p>
    <w:p w14:paraId="7120339D" w14:textId="77777777" w:rsidR="00762925" w:rsidRPr="00156ABD" w:rsidRDefault="00762925" w:rsidP="00762925">
      <w:pPr>
        <w:pStyle w:val="Guidelinescross-ref"/>
        <w:keepNext/>
        <w:rPr>
          <w:b w:val="0"/>
          <w:bCs/>
          <w:color w:val="000000" w:themeColor="text1"/>
          <w:sz w:val="22"/>
        </w:rPr>
      </w:pPr>
      <w:r w:rsidRPr="00516311">
        <w:rPr>
          <w:noProof/>
          <w:szCs w:val="20"/>
        </w:rPr>
        <w:drawing>
          <wp:inline distT="0" distB="0" distL="0" distR="0" wp14:anchorId="24BA39D2" wp14:editId="56C1EC03">
            <wp:extent cx="5731510" cy="2975392"/>
            <wp:effectExtent l="0" t="0" r="0" b="0"/>
            <wp:docPr id="335" name="Picture 335" descr="The proposed clinical management algorithm, including a multi-gene NGS panel for the investigation of patients with suspected glioma, glioneural tumour or glioblast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335" descr="The proposed clinical management algorithm, including a multi-gene NGS panel for the investigation of patients with suspected glioma, glioneural tumour or glioblastoma"/>
                    <pic:cNvPicPr/>
                  </pic:nvPicPr>
                  <pic:blipFill>
                    <a:blip r:embed="rId10"/>
                    <a:stretch>
                      <a:fillRect/>
                    </a:stretch>
                  </pic:blipFill>
                  <pic:spPr>
                    <a:xfrm>
                      <a:off x="0" y="0"/>
                      <a:ext cx="5731510" cy="2975392"/>
                    </a:xfrm>
                    <a:prstGeom prst="rect">
                      <a:avLst/>
                    </a:prstGeom>
                  </pic:spPr>
                </pic:pic>
              </a:graphicData>
            </a:graphic>
          </wp:inline>
        </w:drawing>
      </w:r>
    </w:p>
    <w:p w14:paraId="7B69143A" w14:textId="056E6777" w:rsidR="00762925" w:rsidRDefault="00762925" w:rsidP="00762925">
      <w:pPr>
        <w:pStyle w:val="Caption"/>
      </w:pPr>
      <w:bookmarkStart w:id="28" w:name="_Ref95681770"/>
      <w:r>
        <w:t xml:space="preserve">Figure </w:t>
      </w:r>
      <w:fldSimple w:instr=" SEQ Figure \* ARABIC ">
        <w:r w:rsidR="00C00851">
          <w:rPr>
            <w:noProof/>
          </w:rPr>
          <w:t>2</w:t>
        </w:r>
      </w:fldSimple>
      <w:bookmarkEnd w:id="28"/>
      <w:r>
        <w:t xml:space="preserve"> The proposed clinical management algorithm, including a multi-gene NGS panel for the investigation of patients with suspected glioma, </w:t>
      </w:r>
      <w:r w:rsidR="003B72B7">
        <w:t>glioneuronal</w:t>
      </w:r>
      <w:r>
        <w:t xml:space="preserve"> tumour or glioblastoma</w:t>
      </w:r>
    </w:p>
    <w:p w14:paraId="093A0191" w14:textId="77777777" w:rsidR="00762925" w:rsidRPr="0044448D" w:rsidRDefault="00762925" w:rsidP="00762925">
      <w:pPr>
        <w:pStyle w:val="Tablenotes0"/>
        <w:rPr>
          <w:rFonts w:ascii="Franklin Gothic Book" w:hAnsi="Franklin Gothic Book"/>
          <w:iCs/>
        </w:rPr>
      </w:pPr>
      <w:r w:rsidRPr="00DA10E5">
        <w:rPr>
          <w:sz w:val="20"/>
          <w:szCs w:val="24"/>
        </w:rPr>
        <w:t xml:space="preserve">Source: Application </w:t>
      </w:r>
      <w:r w:rsidRPr="00DA10E5">
        <w:rPr>
          <w:bCs/>
          <w:sz w:val="20"/>
          <w:szCs w:val="24"/>
        </w:rPr>
        <w:t xml:space="preserve">form </w:t>
      </w:r>
      <w:r w:rsidRPr="00DA10E5">
        <w:rPr>
          <w:sz w:val="20"/>
          <w:szCs w:val="24"/>
        </w:rPr>
        <w:t>1709 p.1</w:t>
      </w:r>
      <w:r>
        <w:rPr>
          <w:sz w:val="20"/>
          <w:szCs w:val="24"/>
        </w:rPr>
        <w:t>9</w:t>
      </w:r>
      <w:r w:rsidRPr="00DA10E5">
        <w:rPr>
          <w:sz w:val="20"/>
          <w:szCs w:val="24"/>
        </w:rPr>
        <w:t>.</w:t>
      </w:r>
    </w:p>
    <w:p w14:paraId="115ABAF8" w14:textId="77777777" w:rsidR="00762925" w:rsidRPr="00E74285" w:rsidRDefault="00762925" w:rsidP="00762925">
      <w:pPr>
        <w:pStyle w:val="Heading3"/>
      </w:pPr>
      <w:bookmarkStart w:id="29" w:name="_Toc97723468"/>
      <w:r w:rsidRPr="00E74285">
        <w:t>Retention of Current Items</w:t>
      </w:r>
      <w:bookmarkEnd w:id="29"/>
    </w:p>
    <w:p w14:paraId="60C384C6" w14:textId="77777777" w:rsidR="00762925" w:rsidRPr="00E74285" w:rsidRDefault="00762925" w:rsidP="00762925">
      <w:pPr>
        <w:rPr>
          <w:rFonts w:ascii="Franklin Gothic Book" w:hAnsi="Franklin Gothic Book"/>
          <w:sz w:val="22"/>
          <w:szCs w:val="22"/>
        </w:rPr>
      </w:pPr>
      <w:r w:rsidRPr="00E74285">
        <w:rPr>
          <w:rFonts w:ascii="Franklin Gothic Book" w:hAnsi="Franklin Gothic Book"/>
          <w:sz w:val="22"/>
          <w:szCs w:val="22"/>
        </w:rPr>
        <w:t>Note is made that the Applicant recommends all current MBS items for single genetic tests remain available.</w:t>
      </w:r>
    </w:p>
    <w:p w14:paraId="186AFF91" w14:textId="77777777" w:rsidR="00762925" w:rsidRPr="00E74285" w:rsidRDefault="00762925" w:rsidP="00762925">
      <w:pPr>
        <w:ind w:left="426"/>
        <w:rPr>
          <w:rStyle w:val="Strong"/>
          <w:rFonts w:ascii="Franklin Gothic Book" w:hAnsi="Franklin Gothic Book" w:cstheme="minorHAnsi"/>
          <w:sz w:val="22"/>
          <w:szCs w:val="22"/>
        </w:rPr>
      </w:pPr>
      <w:r w:rsidRPr="00E74285">
        <w:rPr>
          <w:rStyle w:val="Strong"/>
          <w:rFonts w:ascii="Franklin Gothic Book" w:hAnsi="Franklin Gothic Book" w:cstheme="minorHAnsi"/>
          <w:sz w:val="22"/>
          <w:szCs w:val="22"/>
        </w:rPr>
        <w:t>MBS item number 73371</w:t>
      </w:r>
    </w:p>
    <w:p w14:paraId="5BDB22D5"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Analysis of tumour tissue, requested by a specialist or consultant physician, that:</w:t>
      </w:r>
    </w:p>
    <w:p w14:paraId="00D43853"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lastRenderedPageBreak/>
        <w:t>(a) is for the detection of chromosome 1p/19q co</w:t>
      </w:r>
      <w:r w:rsidRPr="00E74285">
        <w:rPr>
          <w:rFonts w:ascii="Cambria Math" w:hAnsi="Cambria Math" w:cs="Cambria Math"/>
          <w:sz w:val="22"/>
          <w:szCs w:val="22"/>
        </w:rPr>
        <w:t>‑</w:t>
      </w:r>
      <w:r w:rsidRPr="00E74285">
        <w:rPr>
          <w:rFonts w:ascii="Franklin Gothic Book" w:hAnsi="Franklin Gothic Book" w:cstheme="minorHAnsi"/>
          <w:sz w:val="22"/>
          <w:szCs w:val="22"/>
        </w:rPr>
        <w:t>deletion; and</w:t>
      </w:r>
    </w:p>
    <w:p w14:paraId="68816DB0"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 xml:space="preserve">(b) is for a patient with clinical or laboratory evidence, including morphological features, of glial neoplasm with probable </w:t>
      </w:r>
      <w:proofErr w:type="spellStart"/>
      <w:r w:rsidRPr="00E74285">
        <w:rPr>
          <w:rFonts w:ascii="Franklin Gothic Book" w:hAnsi="Franklin Gothic Book" w:cstheme="minorHAnsi"/>
          <w:sz w:val="22"/>
          <w:szCs w:val="22"/>
        </w:rPr>
        <w:t>oligodendroglial</w:t>
      </w:r>
      <w:proofErr w:type="spellEnd"/>
      <w:r w:rsidRPr="00E74285">
        <w:rPr>
          <w:rFonts w:ascii="Franklin Gothic Book" w:hAnsi="Franklin Gothic Book" w:cstheme="minorHAnsi"/>
          <w:sz w:val="22"/>
          <w:szCs w:val="22"/>
        </w:rPr>
        <w:t xml:space="preserve"> component</w:t>
      </w:r>
    </w:p>
    <w:p w14:paraId="4859F937"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Applicable only once per lifetime</w:t>
      </w:r>
    </w:p>
    <w:p w14:paraId="3EBA9716"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Fee: $340.00 Benefit: 75% = $255.00 85% = $289.00</w:t>
      </w:r>
    </w:p>
    <w:p w14:paraId="7EA0D2C6" w14:textId="77777777" w:rsidR="00762925" w:rsidRPr="00E74285" w:rsidRDefault="00762925" w:rsidP="00867CDF">
      <w:pPr>
        <w:spacing w:before="240"/>
        <w:ind w:left="426"/>
        <w:rPr>
          <w:rStyle w:val="Strong"/>
          <w:rFonts w:ascii="Franklin Gothic Book" w:hAnsi="Franklin Gothic Book" w:cstheme="minorHAnsi"/>
          <w:sz w:val="22"/>
          <w:szCs w:val="22"/>
        </w:rPr>
      </w:pPr>
      <w:r w:rsidRPr="00E74285">
        <w:rPr>
          <w:rStyle w:val="Strong"/>
          <w:rFonts w:ascii="Franklin Gothic Book" w:hAnsi="Franklin Gothic Book" w:cstheme="minorHAnsi"/>
          <w:sz w:val="22"/>
          <w:szCs w:val="22"/>
        </w:rPr>
        <w:t>MBS item number 73372</w:t>
      </w:r>
    </w:p>
    <w:p w14:paraId="7AC2F77A"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Analysis of tumour tissue, requested by a specialist or consultant physician, that:</w:t>
      </w:r>
    </w:p>
    <w:p w14:paraId="249D05C6"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(a) is for the identification of IDH1/2 pathological variant status; and</w:t>
      </w:r>
    </w:p>
    <w:p w14:paraId="36F3398C"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(b) is for a patient with:</w:t>
      </w:r>
    </w:p>
    <w:p w14:paraId="2BF387AD"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w:t>
      </w:r>
      <w:proofErr w:type="spellStart"/>
      <w:r w:rsidRPr="00E74285">
        <w:rPr>
          <w:rFonts w:ascii="Franklin Gothic Book" w:hAnsi="Franklin Gothic Book" w:cstheme="minorHAnsi"/>
          <w:sz w:val="22"/>
          <w:szCs w:val="22"/>
        </w:rPr>
        <w:t>i</w:t>
      </w:r>
      <w:proofErr w:type="spellEnd"/>
      <w:r w:rsidRPr="00E74285">
        <w:rPr>
          <w:rFonts w:ascii="Franklin Gothic Book" w:hAnsi="Franklin Gothic Book" w:cstheme="minorHAnsi"/>
          <w:sz w:val="22"/>
          <w:szCs w:val="22"/>
        </w:rPr>
        <w:t>) negative IDH1 (R132H) immunohistochemistry; and</w:t>
      </w:r>
    </w:p>
    <w:p w14:paraId="38A8CD31"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(ii) clinical or laboratory evidence, including morphological features, of glial neoplasm</w:t>
      </w:r>
    </w:p>
    <w:p w14:paraId="3ED4A65F"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Applicable only once per lifetime</w:t>
      </w:r>
    </w:p>
    <w:p w14:paraId="7EFF4E9E"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Fee: $340.00 Benefit: 75% = $255.00 85% = $289.00</w:t>
      </w:r>
    </w:p>
    <w:p w14:paraId="237807E0" w14:textId="77777777" w:rsidR="00762925" w:rsidRPr="00E74285" w:rsidRDefault="00762925" w:rsidP="00762925">
      <w:pPr>
        <w:spacing w:before="240"/>
        <w:ind w:left="425"/>
        <w:rPr>
          <w:rStyle w:val="Strong"/>
          <w:rFonts w:ascii="Franklin Gothic Book" w:hAnsi="Franklin Gothic Book" w:cstheme="minorHAnsi"/>
          <w:sz w:val="22"/>
          <w:szCs w:val="22"/>
        </w:rPr>
      </w:pPr>
      <w:r w:rsidRPr="00E74285">
        <w:rPr>
          <w:rStyle w:val="Strong"/>
          <w:rFonts w:ascii="Franklin Gothic Book" w:hAnsi="Franklin Gothic Book" w:cstheme="minorHAnsi"/>
          <w:sz w:val="22"/>
          <w:szCs w:val="22"/>
        </w:rPr>
        <w:t>MBS item number 73373</w:t>
      </w:r>
    </w:p>
    <w:p w14:paraId="4ED2D53F"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Analysis of tumour tissue, requested by a specialist or consultant physician, that:</w:t>
      </w:r>
    </w:p>
    <w:p w14:paraId="094BA68F"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 xml:space="preserve">(a) is for the characterisation of </w:t>
      </w:r>
      <w:r w:rsidRPr="00E74285">
        <w:rPr>
          <w:rStyle w:val="Emphasis"/>
          <w:rFonts w:ascii="Franklin Gothic Book" w:hAnsi="Franklin Gothic Book" w:cstheme="minorHAnsi"/>
          <w:sz w:val="22"/>
          <w:szCs w:val="22"/>
        </w:rPr>
        <w:t>MGMT</w:t>
      </w:r>
      <w:r w:rsidRPr="00E74285">
        <w:rPr>
          <w:rFonts w:ascii="Franklin Gothic Book" w:hAnsi="Franklin Gothic Book" w:cstheme="minorHAnsi"/>
          <w:sz w:val="22"/>
          <w:szCs w:val="22"/>
        </w:rPr>
        <w:t xml:space="preserve"> promoter methylation status; and</w:t>
      </w:r>
    </w:p>
    <w:p w14:paraId="3641792B"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(b) is for a patient with clinical or laboratory evidence, including morphological features, of glioblastoma</w:t>
      </w:r>
    </w:p>
    <w:p w14:paraId="08D22976"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Applicable only once per lifetime</w:t>
      </w:r>
    </w:p>
    <w:p w14:paraId="018D483F" w14:textId="77777777" w:rsidR="00762925" w:rsidRPr="00E74285" w:rsidRDefault="00762925" w:rsidP="00762925">
      <w:pPr>
        <w:ind w:left="426"/>
        <w:rPr>
          <w:rFonts w:ascii="Franklin Gothic Book" w:hAnsi="Franklin Gothic Book" w:cstheme="minorHAnsi"/>
          <w:sz w:val="22"/>
          <w:szCs w:val="22"/>
        </w:rPr>
      </w:pPr>
      <w:r w:rsidRPr="00E74285">
        <w:rPr>
          <w:rFonts w:ascii="Franklin Gothic Book" w:hAnsi="Franklin Gothic Book" w:cstheme="minorHAnsi"/>
          <w:sz w:val="22"/>
          <w:szCs w:val="22"/>
        </w:rPr>
        <w:t>Fee: $400.00 Benefit: 75% = $300.00 85% = $340.00</w:t>
      </w:r>
    </w:p>
    <w:p w14:paraId="79627FA7" w14:textId="77777777" w:rsidR="00762925" w:rsidRPr="00E74285" w:rsidRDefault="00762925" w:rsidP="00867CDF">
      <w:pPr>
        <w:pStyle w:val="Instructionaltext"/>
        <w:spacing w:before="240"/>
        <w:jc w:val="both"/>
        <w:rPr>
          <w:rFonts w:cstheme="minorHAnsi"/>
          <w:color w:val="000000" w:themeColor="text1"/>
        </w:rPr>
      </w:pPr>
      <w:r w:rsidRPr="00E74285">
        <w:rPr>
          <w:rFonts w:cstheme="minorHAnsi"/>
          <w:color w:val="000000" w:themeColor="text1"/>
        </w:rPr>
        <w:t xml:space="preserve">The </w:t>
      </w:r>
      <w:r>
        <w:rPr>
          <w:rFonts w:cstheme="minorHAnsi"/>
          <w:color w:val="000000" w:themeColor="text1"/>
        </w:rPr>
        <w:t xml:space="preserve">HTA group considers that </w:t>
      </w:r>
      <w:r w:rsidRPr="00E74285">
        <w:rPr>
          <w:rFonts w:cstheme="minorHAnsi"/>
          <w:color w:val="000000" w:themeColor="text1"/>
        </w:rPr>
        <w:t xml:space="preserve">retention of the genetic tests with items 73371 and 73373 are </w:t>
      </w:r>
      <w:r>
        <w:rPr>
          <w:rFonts w:cstheme="minorHAnsi"/>
          <w:color w:val="000000" w:themeColor="text1"/>
        </w:rPr>
        <w:t>appropriate</w:t>
      </w:r>
      <w:r w:rsidRPr="00E74285">
        <w:rPr>
          <w:rFonts w:cstheme="minorHAnsi"/>
          <w:color w:val="000000" w:themeColor="text1"/>
        </w:rPr>
        <w:t>, as the latter is performed independently of the panel to provide information for patients identified as having a glioblastoma. Retention of the alternate methodologies such as FISH to detect 1p/19</w:t>
      </w:r>
      <w:r>
        <w:rPr>
          <w:rFonts w:cstheme="minorHAnsi"/>
          <w:color w:val="000000" w:themeColor="text1"/>
        </w:rPr>
        <w:t>q</w:t>
      </w:r>
      <w:r w:rsidRPr="00E74285">
        <w:rPr>
          <w:rFonts w:cstheme="minorHAnsi"/>
          <w:color w:val="000000" w:themeColor="text1"/>
        </w:rPr>
        <w:t xml:space="preserve"> codeletion (Item 73371) may be important where issues related to the biopsy or tumour sample specimen preclude ensure a reliable result (e.g., low tumour cell cellularity). </w:t>
      </w:r>
    </w:p>
    <w:p w14:paraId="52C82E41" w14:textId="77777777" w:rsidR="00762925" w:rsidRPr="00E74285" w:rsidRDefault="00762925" w:rsidP="00762925">
      <w:pPr>
        <w:pStyle w:val="Instructionaltext"/>
        <w:jc w:val="both"/>
        <w:rPr>
          <w:rFonts w:cstheme="minorHAnsi"/>
          <w:color w:val="000000" w:themeColor="text1"/>
        </w:rPr>
      </w:pPr>
      <w:r w:rsidRPr="00E74285">
        <w:rPr>
          <w:rFonts w:cstheme="minorHAnsi"/>
          <w:color w:val="000000" w:themeColor="text1"/>
        </w:rPr>
        <w:t>However, retaining s</w:t>
      </w:r>
      <w:r>
        <w:rPr>
          <w:rFonts w:cstheme="minorHAnsi"/>
          <w:color w:val="000000" w:themeColor="text1"/>
        </w:rPr>
        <w:t>tandalone</w:t>
      </w:r>
      <w:r w:rsidRPr="00E74285">
        <w:rPr>
          <w:rFonts w:cstheme="minorHAnsi"/>
          <w:color w:val="000000" w:themeColor="text1"/>
        </w:rPr>
        <w:t xml:space="preserve"> </w:t>
      </w:r>
      <w:r w:rsidRPr="00AD73DA">
        <w:rPr>
          <w:rFonts w:cstheme="minorHAnsi"/>
          <w:i/>
          <w:iCs/>
          <w:color w:val="000000" w:themeColor="text1"/>
        </w:rPr>
        <w:t>IDH1/2</w:t>
      </w:r>
      <w:r w:rsidRPr="00E74285">
        <w:rPr>
          <w:rFonts w:cstheme="minorHAnsi"/>
          <w:color w:val="000000" w:themeColor="text1"/>
        </w:rPr>
        <w:t xml:space="preserve"> genetic testing (73372)</w:t>
      </w:r>
      <w:r>
        <w:rPr>
          <w:rFonts w:cstheme="minorHAnsi"/>
          <w:color w:val="000000" w:themeColor="text1"/>
        </w:rPr>
        <w:t xml:space="preserve"> when both genes are included as ‘essential’ in the proposed panel would</w:t>
      </w:r>
      <w:r w:rsidRPr="00E74285">
        <w:rPr>
          <w:rFonts w:cstheme="minorHAnsi"/>
          <w:color w:val="000000" w:themeColor="text1"/>
        </w:rPr>
        <w:t xml:space="preserve"> not </w:t>
      </w:r>
      <w:r>
        <w:rPr>
          <w:rFonts w:cstheme="minorHAnsi"/>
          <w:color w:val="000000" w:themeColor="text1"/>
        </w:rPr>
        <w:t xml:space="preserve">be </w:t>
      </w:r>
      <w:r w:rsidRPr="00E74285">
        <w:rPr>
          <w:rFonts w:cstheme="minorHAnsi"/>
          <w:color w:val="000000" w:themeColor="text1"/>
        </w:rPr>
        <w:t>favourable to patients because:</w:t>
      </w:r>
    </w:p>
    <w:p w14:paraId="64A34A27" w14:textId="77777777" w:rsidR="00762925" w:rsidRPr="00E74285" w:rsidRDefault="00762925" w:rsidP="00762925">
      <w:pPr>
        <w:pStyle w:val="Instructionaltext"/>
        <w:numPr>
          <w:ilvl w:val="0"/>
          <w:numId w:val="15"/>
        </w:numPr>
        <w:ind w:hanging="357"/>
        <w:contextualSpacing/>
        <w:jc w:val="both"/>
        <w:rPr>
          <w:rFonts w:cstheme="minorHAnsi"/>
          <w:color w:val="000000" w:themeColor="text1"/>
        </w:rPr>
      </w:pPr>
      <w:r w:rsidRPr="00E74285">
        <w:rPr>
          <w:rFonts w:cstheme="minorHAnsi"/>
          <w:color w:val="000000" w:themeColor="text1"/>
        </w:rPr>
        <w:t>a negative or positive result would mean further genetic testing is</w:t>
      </w:r>
      <w:r>
        <w:rPr>
          <w:rFonts w:cstheme="minorHAnsi"/>
          <w:color w:val="000000" w:themeColor="text1"/>
        </w:rPr>
        <w:t xml:space="preserve"> still</w:t>
      </w:r>
      <w:r w:rsidRPr="00E74285">
        <w:rPr>
          <w:rFonts w:cstheme="minorHAnsi"/>
          <w:color w:val="000000" w:themeColor="text1"/>
        </w:rPr>
        <w:t xml:space="preserve"> required for diagnostic, prognostic or predictive information</w:t>
      </w:r>
      <w:r>
        <w:rPr>
          <w:rFonts w:cstheme="minorHAnsi"/>
          <w:color w:val="000000" w:themeColor="text1"/>
        </w:rPr>
        <w:t xml:space="preserve"> –</w:t>
      </w:r>
      <w:r w:rsidRPr="00E74285">
        <w:rPr>
          <w:rFonts w:cstheme="minorHAnsi"/>
          <w:color w:val="000000" w:themeColor="text1"/>
        </w:rPr>
        <w:t xml:space="preserve"> </w:t>
      </w:r>
      <w:r>
        <w:rPr>
          <w:rFonts w:cstheme="minorHAnsi"/>
          <w:color w:val="000000" w:themeColor="text1"/>
        </w:rPr>
        <w:t xml:space="preserve">proceeding directly to the panel </w:t>
      </w:r>
      <w:r w:rsidRPr="00E74285">
        <w:rPr>
          <w:rFonts w:cstheme="minorHAnsi"/>
          <w:color w:val="000000" w:themeColor="text1"/>
        </w:rPr>
        <w:t xml:space="preserve">would have </w:t>
      </w:r>
      <w:r>
        <w:rPr>
          <w:rFonts w:cstheme="minorHAnsi"/>
          <w:color w:val="000000" w:themeColor="text1"/>
        </w:rPr>
        <w:t>achieved this more quickly</w:t>
      </w:r>
    </w:p>
    <w:p w14:paraId="6760B280" w14:textId="77777777" w:rsidR="00762925" w:rsidRPr="00E74285" w:rsidRDefault="00762925" w:rsidP="00762925">
      <w:pPr>
        <w:pStyle w:val="Instructionaltext"/>
        <w:numPr>
          <w:ilvl w:val="0"/>
          <w:numId w:val="15"/>
        </w:numPr>
        <w:ind w:hanging="357"/>
        <w:contextualSpacing/>
        <w:jc w:val="both"/>
        <w:rPr>
          <w:rFonts w:cstheme="minorHAnsi"/>
          <w:color w:val="000000" w:themeColor="text1"/>
        </w:rPr>
      </w:pPr>
      <w:r w:rsidRPr="00E74285">
        <w:rPr>
          <w:rFonts w:cstheme="minorHAnsi"/>
          <w:color w:val="000000" w:themeColor="text1"/>
        </w:rPr>
        <w:t>it leads to a sequential approach</w:t>
      </w:r>
      <w:r>
        <w:rPr>
          <w:rFonts w:cstheme="minorHAnsi"/>
          <w:color w:val="000000" w:themeColor="text1"/>
        </w:rPr>
        <w:t xml:space="preserve">, using </w:t>
      </w:r>
      <w:r w:rsidRPr="00E74285">
        <w:rPr>
          <w:rFonts w:cstheme="minorHAnsi"/>
          <w:color w:val="000000" w:themeColor="text1"/>
        </w:rPr>
        <w:t xml:space="preserve">up potentially very limited sample and lengthening the time to complete </w:t>
      </w:r>
      <w:r>
        <w:rPr>
          <w:rFonts w:cstheme="minorHAnsi"/>
          <w:color w:val="000000" w:themeColor="text1"/>
        </w:rPr>
        <w:t xml:space="preserve">the </w:t>
      </w:r>
      <w:r w:rsidRPr="00E74285">
        <w:rPr>
          <w:rFonts w:cstheme="minorHAnsi"/>
          <w:color w:val="000000" w:themeColor="text1"/>
        </w:rPr>
        <w:t>required diagnostic tests</w:t>
      </w:r>
    </w:p>
    <w:p w14:paraId="03ACCDC4" w14:textId="77777777" w:rsidR="00762925" w:rsidRDefault="00762925" w:rsidP="00762925">
      <w:pPr>
        <w:pStyle w:val="Instructionaltext"/>
        <w:numPr>
          <w:ilvl w:val="0"/>
          <w:numId w:val="15"/>
        </w:numPr>
        <w:ind w:hanging="357"/>
        <w:contextualSpacing/>
        <w:jc w:val="both"/>
        <w:rPr>
          <w:rFonts w:cstheme="minorHAnsi"/>
          <w:color w:val="000000" w:themeColor="text1"/>
        </w:rPr>
      </w:pPr>
      <w:r w:rsidRPr="00E74285">
        <w:rPr>
          <w:rFonts w:cstheme="minorHAnsi"/>
          <w:color w:val="000000" w:themeColor="text1"/>
        </w:rPr>
        <w:t xml:space="preserve">it </w:t>
      </w:r>
      <w:r>
        <w:rPr>
          <w:rFonts w:cstheme="minorHAnsi"/>
          <w:color w:val="000000" w:themeColor="text1"/>
        </w:rPr>
        <w:t xml:space="preserve">may </w:t>
      </w:r>
      <w:r w:rsidRPr="00E74285">
        <w:rPr>
          <w:rFonts w:cstheme="minorHAnsi"/>
          <w:color w:val="000000" w:themeColor="text1"/>
        </w:rPr>
        <w:t>be used instead of a panel, and is inferior</w:t>
      </w:r>
      <w:r w:rsidRPr="00017D82">
        <w:rPr>
          <w:rFonts w:cstheme="minorHAnsi"/>
          <w:color w:val="000000" w:themeColor="text1"/>
        </w:rPr>
        <w:t xml:space="preserve"> </w:t>
      </w:r>
    </w:p>
    <w:p w14:paraId="175E95F2" w14:textId="77777777" w:rsidR="00762925" w:rsidRDefault="00762925" w:rsidP="00867CDF">
      <w:pPr>
        <w:pStyle w:val="Instructionaltext"/>
        <w:numPr>
          <w:ilvl w:val="0"/>
          <w:numId w:val="15"/>
        </w:numPr>
        <w:spacing w:after="240"/>
        <w:ind w:hanging="357"/>
        <w:jc w:val="both"/>
        <w:rPr>
          <w:rFonts w:cstheme="minorHAnsi"/>
          <w:color w:val="000000" w:themeColor="text1"/>
        </w:rPr>
      </w:pPr>
      <w:r w:rsidRPr="00E74285">
        <w:rPr>
          <w:rFonts w:cstheme="minorHAnsi"/>
          <w:color w:val="000000" w:themeColor="text1"/>
        </w:rPr>
        <w:t>it is included in the proposed panel essential gene list and therefore would be duplicated</w:t>
      </w:r>
    </w:p>
    <w:p w14:paraId="1CB05984" w14:textId="77777777" w:rsidR="00762925" w:rsidRPr="00E74285" w:rsidRDefault="00762925" w:rsidP="00867CDF">
      <w:pPr>
        <w:pStyle w:val="Instructionaltext"/>
        <w:spacing w:before="240"/>
        <w:jc w:val="both"/>
        <w:rPr>
          <w:rFonts w:cstheme="minorHAnsi"/>
          <w:color w:val="000000" w:themeColor="text1"/>
        </w:rPr>
      </w:pPr>
      <w:r w:rsidRPr="00017D82">
        <w:rPr>
          <w:rFonts w:cstheme="minorHAnsi"/>
          <w:color w:val="000000" w:themeColor="text1"/>
        </w:rPr>
        <w:t xml:space="preserve">The Applicant’s cited reasons for retention of the existing item descriptors based on the investment in set-up costs and other resources are </w:t>
      </w:r>
      <w:r>
        <w:rPr>
          <w:rFonts w:cstheme="minorHAnsi"/>
          <w:color w:val="000000" w:themeColor="text1"/>
        </w:rPr>
        <w:t>problematic</w:t>
      </w:r>
      <w:r w:rsidRPr="00017D82">
        <w:rPr>
          <w:rFonts w:cstheme="minorHAnsi"/>
          <w:color w:val="000000" w:themeColor="text1"/>
        </w:rPr>
        <w:t xml:space="preserve"> from a patient perspective</w:t>
      </w:r>
      <w:r>
        <w:rPr>
          <w:rFonts w:cstheme="minorHAnsi"/>
          <w:color w:val="000000" w:themeColor="text1"/>
        </w:rPr>
        <w:t xml:space="preserve"> because this is an inferior test</w:t>
      </w:r>
      <w:r w:rsidRPr="00017D82">
        <w:rPr>
          <w:rFonts w:cstheme="minorHAnsi"/>
          <w:color w:val="000000" w:themeColor="text1"/>
        </w:rPr>
        <w:t xml:space="preserve">, </w:t>
      </w:r>
      <w:r>
        <w:rPr>
          <w:rFonts w:cstheme="minorHAnsi"/>
          <w:color w:val="000000" w:themeColor="text1"/>
        </w:rPr>
        <w:t>and</w:t>
      </w:r>
      <w:r w:rsidRPr="00017D82">
        <w:rPr>
          <w:rFonts w:cstheme="minorHAnsi"/>
          <w:color w:val="000000" w:themeColor="text1"/>
        </w:rPr>
        <w:t xml:space="preserve"> for the MBS </w:t>
      </w:r>
      <w:r>
        <w:rPr>
          <w:rFonts w:cstheme="minorHAnsi"/>
          <w:color w:val="000000" w:themeColor="text1"/>
        </w:rPr>
        <w:t xml:space="preserve">as </w:t>
      </w:r>
      <w:r w:rsidRPr="00017D82">
        <w:rPr>
          <w:rFonts w:cstheme="minorHAnsi"/>
          <w:color w:val="000000" w:themeColor="text1"/>
        </w:rPr>
        <w:t xml:space="preserve">reflex from </w:t>
      </w:r>
      <w:r>
        <w:rPr>
          <w:rFonts w:cstheme="minorHAnsi"/>
          <w:color w:val="000000" w:themeColor="text1"/>
        </w:rPr>
        <w:t>this test</w:t>
      </w:r>
      <w:r w:rsidRPr="00017D82">
        <w:rPr>
          <w:rFonts w:cstheme="minorHAnsi"/>
          <w:color w:val="000000" w:themeColor="text1"/>
        </w:rPr>
        <w:t xml:space="preserve"> to the panel </w:t>
      </w:r>
      <w:r>
        <w:rPr>
          <w:rFonts w:cstheme="minorHAnsi"/>
          <w:color w:val="000000" w:themeColor="text1"/>
        </w:rPr>
        <w:t xml:space="preserve">would duplicate </w:t>
      </w:r>
      <w:r w:rsidRPr="00017D82">
        <w:rPr>
          <w:rFonts w:cstheme="minorHAnsi"/>
          <w:color w:val="000000" w:themeColor="text1"/>
        </w:rPr>
        <w:t xml:space="preserve">services. </w:t>
      </w:r>
    </w:p>
    <w:p w14:paraId="3466D1C7" w14:textId="38380E27" w:rsidR="00762925" w:rsidRPr="00FD77EE" w:rsidRDefault="00BE1D5B" w:rsidP="00762925">
      <w:pPr>
        <w:pStyle w:val="Heading2"/>
        <w:numPr>
          <w:ilvl w:val="0"/>
          <w:numId w:val="0"/>
        </w:numPr>
      </w:pPr>
      <w:bookmarkStart w:id="30" w:name="_Toc97723469"/>
      <w:r>
        <w:t>9</w:t>
      </w:r>
      <w:r w:rsidR="00762925" w:rsidRPr="00FD77EE">
        <w:t>.</w:t>
      </w:r>
      <w:r w:rsidR="00762925" w:rsidRPr="00FD77EE">
        <w:tab/>
        <w:t>Summary of public consultation input</w:t>
      </w:r>
      <w:bookmarkEnd w:id="30"/>
    </w:p>
    <w:p w14:paraId="678A9B4E" w14:textId="11C656CF" w:rsidR="00762925" w:rsidRPr="003B72B7" w:rsidRDefault="00762925" w:rsidP="00762925">
      <w:pPr>
        <w:pStyle w:val="Instructionaltext-afterfiguretable"/>
        <w:jc w:val="both"/>
        <w:rPr>
          <w:rFonts w:cstheme="minorHAnsi"/>
          <w:color w:val="auto"/>
        </w:rPr>
      </w:pPr>
      <w:r w:rsidRPr="003B72B7">
        <w:rPr>
          <w:rFonts w:cstheme="minorHAnsi"/>
          <w:color w:val="auto"/>
        </w:rPr>
        <w:t>No public consultation information was available at the time of preparation of this DCAR, and this application was not considered by PASC.</w:t>
      </w:r>
    </w:p>
    <w:p w14:paraId="04EECCBF" w14:textId="02083429" w:rsidR="00E33E8B" w:rsidRPr="003B72B7" w:rsidRDefault="00E33E8B" w:rsidP="003B72B7">
      <w:pPr>
        <w:pStyle w:val="Instructionaltext"/>
        <w:spacing w:after="0"/>
        <w:rPr>
          <w:color w:val="auto"/>
        </w:rPr>
      </w:pPr>
      <w:r w:rsidRPr="003B72B7">
        <w:rPr>
          <w:color w:val="auto"/>
        </w:rPr>
        <w:t>At the time of MSAC consideration, public consultation feedback was received from seven organisations;</w:t>
      </w:r>
    </w:p>
    <w:p w14:paraId="4D6D6945" w14:textId="77777777" w:rsidR="00E33E8B" w:rsidRPr="003B72B7" w:rsidRDefault="00E33E8B" w:rsidP="003B72B7">
      <w:pPr>
        <w:pStyle w:val="Instructionaltext"/>
        <w:numPr>
          <w:ilvl w:val="0"/>
          <w:numId w:val="31"/>
        </w:numPr>
        <w:spacing w:before="0" w:after="0"/>
        <w:rPr>
          <w:color w:val="auto"/>
        </w:rPr>
      </w:pPr>
      <w:r w:rsidRPr="003B72B7">
        <w:rPr>
          <w:color w:val="auto"/>
        </w:rPr>
        <w:t xml:space="preserve">Australian Pathology, </w:t>
      </w:r>
    </w:p>
    <w:p w14:paraId="2D2A0D73" w14:textId="77777777" w:rsidR="00E33E8B" w:rsidRPr="003B72B7" w:rsidRDefault="00E33E8B" w:rsidP="003B72B7">
      <w:pPr>
        <w:pStyle w:val="Instructionaltext"/>
        <w:numPr>
          <w:ilvl w:val="0"/>
          <w:numId w:val="31"/>
        </w:numPr>
        <w:spacing w:before="0" w:after="0"/>
        <w:rPr>
          <w:color w:val="auto"/>
        </w:rPr>
      </w:pPr>
      <w:r w:rsidRPr="003B72B7">
        <w:rPr>
          <w:color w:val="auto"/>
        </w:rPr>
        <w:lastRenderedPageBreak/>
        <w:t xml:space="preserve">Telethon Kids Institute, </w:t>
      </w:r>
    </w:p>
    <w:p w14:paraId="61590B98" w14:textId="77777777" w:rsidR="00E33E8B" w:rsidRPr="003B72B7" w:rsidRDefault="00E33E8B" w:rsidP="003B72B7">
      <w:pPr>
        <w:pStyle w:val="Instructionaltext"/>
        <w:numPr>
          <w:ilvl w:val="0"/>
          <w:numId w:val="31"/>
        </w:numPr>
        <w:spacing w:before="0" w:after="0"/>
        <w:rPr>
          <w:color w:val="auto"/>
        </w:rPr>
      </w:pPr>
      <w:r w:rsidRPr="003B72B7">
        <w:rPr>
          <w:color w:val="auto"/>
        </w:rPr>
        <w:t xml:space="preserve">Cancer Australia, </w:t>
      </w:r>
    </w:p>
    <w:p w14:paraId="717C93F1" w14:textId="77777777" w:rsidR="00E33E8B" w:rsidRPr="003B72B7" w:rsidRDefault="00E33E8B" w:rsidP="003B72B7">
      <w:pPr>
        <w:pStyle w:val="Instructionaltext"/>
        <w:numPr>
          <w:ilvl w:val="0"/>
          <w:numId w:val="31"/>
        </w:numPr>
        <w:spacing w:before="0" w:after="0"/>
        <w:rPr>
          <w:color w:val="auto"/>
        </w:rPr>
      </w:pPr>
      <w:r w:rsidRPr="003B72B7">
        <w:rPr>
          <w:color w:val="auto"/>
        </w:rPr>
        <w:t>The Industry Genomics Network Alliance (</w:t>
      </w:r>
      <w:proofErr w:type="spellStart"/>
      <w:r w:rsidRPr="003B72B7">
        <w:rPr>
          <w:color w:val="auto"/>
        </w:rPr>
        <w:t>InGeNA</w:t>
      </w:r>
      <w:proofErr w:type="spellEnd"/>
      <w:r w:rsidRPr="003B72B7">
        <w:rPr>
          <w:color w:val="auto"/>
        </w:rPr>
        <w:t>),</w:t>
      </w:r>
    </w:p>
    <w:p w14:paraId="08F153A0" w14:textId="77777777" w:rsidR="00E33E8B" w:rsidRPr="003B72B7" w:rsidRDefault="00E33E8B" w:rsidP="003B72B7">
      <w:pPr>
        <w:pStyle w:val="Instructionaltext"/>
        <w:numPr>
          <w:ilvl w:val="0"/>
          <w:numId w:val="31"/>
        </w:numPr>
        <w:spacing w:before="0" w:after="0"/>
        <w:rPr>
          <w:color w:val="auto"/>
        </w:rPr>
      </w:pPr>
      <w:r w:rsidRPr="003B72B7">
        <w:rPr>
          <w:color w:val="auto"/>
        </w:rPr>
        <w:t xml:space="preserve">The Neurosurgical Society of Australasia (NSA),  </w:t>
      </w:r>
    </w:p>
    <w:p w14:paraId="5872FFD8" w14:textId="77777777" w:rsidR="00E33E8B" w:rsidRPr="003B72B7" w:rsidRDefault="00E33E8B" w:rsidP="003B72B7">
      <w:pPr>
        <w:pStyle w:val="Instructionaltext"/>
        <w:numPr>
          <w:ilvl w:val="0"/>
          <w:numId w:val="31"/>
        </w:numPr>
        <w:spacing w:before="0" w:after="0"/>
        <w:rPr>
          <w:color w:val="auto"/>
        </w:rPr>
      </w:pPr>
      <w:r w:rsidRPr="003B72B7">
        <w:rPr>
          <w:color w:val="auto"/>
        </w:rPr>
        <w:t>Public Pathology Australia, and</w:t>
      </w:r>
    </w:p>
    <w:p w14:paraId="58D7B019" w14:textId="0FC5BC39" w:rsidR="00E33E8B" w:rsidRPr="003B72B7" w:rsidRDefault="00003FC8" w:rsidP="003B72B7">
      <w:pPr>
        <w:pStyle w:val="Instructionaltext"/>
        <w:numPr>
          <w:ilvl w:val="0"/>
          <w:numId w:val="31"/>
        </w:numPr>
        <w:spacing w:before="0"/>
        <w:rPr>
          <w:color w:val="auto"/>
        </w:rPr>
      </w:pPr>
      <w:r w:rsidRPr="003B72B7">
        <w:rPr>
          <w:color w:val="auto"/>
        </w:rPr>
        <w:t>Cooperative Trials Group for Neuro-Oncology</w:t>
      </w:r>
      <w:r w:rsidR="00A639BA" w:rsidRPr="003B72B7">
        <w:rPr>
          <w:color w:val="auto"/>
        </w:rPr>
        <w:t xml:space="preserve"> (COGNO)</w:t>
      </w:r>
    </w:p>
    <w:p w14:paraId="658B88FE" w14:textId="5F419F54" w:rsidR="00E33E8B" w:rsidRPr="003B72B7" w:rsidRDefault="00E33E8B" w:rsidP="00E33E8B">
      <w:pPr>
        <w:pStyle w:val="Instructionaltext"/>
        <w:rPr>
          <w:color w:val="auto"/>
        </w:rPr>
      </w:pPr>
      <w:r w:rsidRPr="003B72B7">
        <w:rPr>
          <w:color w:val="auto"/>
        </w:rPr>
        <w:t>Respondents noted that this type of testing is currently available in Australia, but</w:t>
      </w:r>
      <w:r w:rsidR="005738DC" w:rsidRPr="003B72B7">
        <w:rPr>
          <w:color w:val="auto"/>
        </w:rPr>
        <w:t xml:space="preserve"> often</w:t>
      </w:r>
      <w:r w:rsidRPr="003B72B7">
        <w:rPr>
          <w:color w:val="auto"/>
        </w:rPr>
        <w:t xml:space="preserve"> at the patient</w:t>
      </w:r>
      <w:r w:rsidR="00BD2275">
        <w:rPr>
          <w:color w:val="auto"/>
        </w:rPr>
        <w:t>’</w:t>
      </w:r>
      <w:r w:rsidRPr="003B72B7">
        <w:rPr>
          <w:color w:val="auto"/>
        </w:rPr>
        <w:t>s</w:t>
      </w:r>
      <w:r w:rsidR="00003FC8" w:rsidRPr="003B72B7">
        <w:rPr>
          <w:color w:val="auto"/>
        </w:rPr>
        <w:t xml:space="preserve"> own expense</w:t>
      </w:r>
      <w:r w:rsidRPr="003B72B7">
        <w:rPr>
          <w:color w:val="auto"/>
        </w:rPr>
        <w:t>, thereby disadvantaging patients who cannot afford or access this testing. All organisations agreed that with the listing of this item on the MBS, patients will benefit from equity of access to fast and accurate diagnosis of their cancer which will lead to better patient outcomes as more precise clinical management decisions can be made in a timely manner. It was also noted that listing this item on the MBS would ensure public funding for what</w:t>
      </w:r>
      <w:r w:rsidR="00BD2275">
        <w:rPr>
          <w:color w:val="auto"/>
        </w:rPr>
        <w:t xml:space="preserve"> i</w:t>
      </w:r>
      <w:r w:rsidRPr="003B72B7">
        <w:rPr>
          <w:color w:val="auto"/>
        </w:rPr>
        <w:t xml:space="preserve">s considered the ‘standard of care’ in this area, and that </w:t>
      </w:r>
      <w:r w:rsidR="00BD2275">
        <w:rPr>
          <w:color w:val="auto"/>
        </w:rPr>
        <w:t xml:space="preserve">public funding for </w:t>
      </w:r>
      <w:r w:rsidRPr="003B72B7">
        <w:rPr>
          <w:color w:val="auto"/>
        </w:rPr>
        <w:t>the diagnosis of gliomas would fall in line with World Health Organi</w:t>
      </w:r>
      <w:r w:rsidR="00C75EB5">
        <w:rPr>
          <w:color w:val="auto"/>
        </w:rPr>
        <w:t>z</w:t>
      </w:r>
      <w:r w:rsidRPr="003B72B7">
        <w:rPr>
          <w:color w:val="auto"/>
        </w:rPr>
        <w:t xml:space="preserve">ation (WHO) recommendations for determining a diagnosis. </w:t>
      </w:r>
    </w:p>
    <w:p w14:paraId="35137747" w14:textId="0BF05D61" w:rsidR="00E33E8B" w:rsidRPr="003B72B7" w:rsidRDefault="00E33E8B" w:rsidP="00E33E8B">
      <w:pPr>
        <w:pStyle w:val="Instructionaltext"/>
        <w:rPr>
          <w:color w:val="auto"/>
        </w:rPr>
      </w:pPr>
      <w:r w:rsidRPr="003B72B7">
        <w:rPr>
          <w:color w:val="auto"/>
        </w:rPr>
        <w:t xml:space="preserve">There were no major disadvantages perceived the with the listing of this item on the MBS. It was noted by one organisation that </w:t>
      </w:r>
      <w:r w:rsidR="00BD2275">
        <w:rPr>
          <w:color w:val="auto"/>
        </w:rPr>
        <w:t xml:space="preserve">gene </w:t>
      </w:r>
      <w:r w:rsidRPr="003B72B7">
        <w:rPr>
          <w:color w:val="auto"/>
        </w:rPr>
        <w:t xml:space="preserve">panel testing is more efficient </w:t>
      </w:r>
      <w:r w:rsidR="00BD2275">
        <w:rPr>
          <w:color w:val="auto"/>
        </w:rPr>
        <w:t xml:space="preserve">than single gene testing, </w:t>
      </w:r>
      <w:r w:rsidRPr="003B72B7">
        <w:rPr>
          <w:color w:val="auto"/>
        </w:rPr>
        <w:t xml:space="preserve">and </w:t>
      </w:r>
      <w:r w:rsidR="00BD2275">
        <w:rPr>
          <w:color w:val="auto"/>
        </w:rPr>
        <w:t xml:space="preserve">gene panels may overall be </w:t>
      </w:r>
      <w:r w:rsidRPr="003B72B7">
        <w:rPr>
          <w:color w:val="auto"/>
        </w:rPr>
        <w:t>cost saving for the laboratory and the health</w:t>
      </w:r>
      <w:r w:rsidR="00BD2275">
        <w:rPr>
          <w:color w:val="auto"/>
        </w:rPr>
        <w:t>care</w:t>
      </w:r>
      <w:r w:rsidRPr="003B72B7">
        <w:rPr>
          <w:color w:val="auto"/>
        </w:rPr>
        <w:t xml:space="preserve"> system. </w:t>
      </w:r>
      <w:r w:rsidR="00BD2275">
        <w:rPr>
          <w:color w:val="auto"/>
        </w:rPr>
        <w:t>One organisation commented that gain of chromosome 7 and loss of chromosome 10 should also be encompassed by this testing.</w:t>
      </w:r>
    </w:p>
    <w:p w14:paraId="00FCFFD2" w14:textId="68BAB287" w:rsidR="00E33E8B" w:rsidRPr="003B72B7" w:rsidRDefault="00BD2275" w:rsidP="00E33E8B">
      <w:pPr>
        <w:pStyle w:val="Instructionaltext"/>
        <w:rPr>
          <w:color w:val="auto"/>
        </w:rPr>
      </w:pPr>
      <w:r>
        <w:rPr>
          <w:color w:val="auto"/>
        </w:rPr>
        <w:t>Two</w:t>
      </w:r>
      <w:r w:rsidR="00E33E8B" w:rsidRPr="003B72B7">
        <w:rPr>
          <w:color w:val="auto"/>
        </w:rPr>
        <w:t xml:space="preserve"> organisations </w:t>
      </w:r>
      <w:r>
        <w:rPr>
          <w:color w:val="auto"/>
        </w:rPr>
        <w:t>commented</w:t>
      </w:r>
      <w:r w:rsidR="00E33E8B" w:rsidRPr="003B72B7">
        <w:rPr>
          <w:color w:val="auto"/>
        </w:rPr>
        <w:t xml:space="preserve"> that the proposed fee was less than </w:t>
      </w:r>
      <w:r w:rsidR="005738DC" w:rsidRPr="003B72B7">
        <w:rPr>
          <w:color w:val="auto"/>
        </w:rPr>
        <w:t xml:space="preserve">for </w:t>
      </w:r>
      <w:r w:rsidR="00E33E8B" w:rsidRPr="003B72B7">
        <w:rPr>
          <w:i/>
          <w:iCs/>
          <w:color w:val="auto"/>
        </w:rPr>
        <w:t>BRCA</w:t>
      </w:r>
      <w:r w:rsidR="00E33E8B" w:rsidRPr="003B72B7">
        <w:rPr>
          <w:color w:val="auto"/>
        </w:rPr>
        <w:t xml:space="preserve"> testing, which is considered to have a similar amount of testing co</w:t>
      </w:r>
      <w:r w:rsidR="00DF49C2" w:rsidRPr="003B72B7">
        <w:rPr>
          <w:color w:val="auto"/>
        </w:rPr>
        <w:t>mplexity</w:t>
      </w:r>
      <w:r w:rsidR="00E33E8B" w:rsidRPr="003B72B7">
        <w:rPr>
          <w:color w:val="auto"/>
        </w:rPr>
        <w:t xml:space="preserve">. </w:t>
      </w:r>
    </w:p>
    <w:p w14:paraId="4B74DB46" w14:textId="45C936CF" w:rsidR="00762925" w:rsidRDefault="00BE1D5B" w:rsidP="00762925">
      <w:pPr>
        <w:pStyle w:val="Heading2"/>
        <w:numPr>
          <w:ilvl w:val="0"/>
          <w:numId w:val="0"/>
        </w:numPr>
      </w:pPr>
      <w:bookmarkStart w:id="31" w:name="_Toc97723470"/>
      <w:r>
        <w:t>10</w:t>
      </w:r>
      <w:r w:rsidR="00762925">
        <w:t>.</w:t>
      </w:r>
      <w:r w:rsidR="00762925">
        <w:tab/>
      </w:r>
      <w:r w:rsidR="00762925" w:rsidRPr="00CE28E3">
        <w:t>Characteristics of the evidence base</w:t>
      </w:r>
      <w:bookmarkEnd w:id="31"/>
    </w:p>
    <w:p w14:paraId="5D0CE166" w14:textId="77777777" w:rsidR="00762925" w:rsidRPr="0044448D" w:rsidRDefault="00762925" w:rsidP="00762925">
      <w:pPr>
        <w:pStyle w:val="Instructionaltext-afterfiguretable"/>
        <w:jc w:val="both"/>
        <w:rPr>
          <w:color w:val="000000" w:themeColor="text1"/>
        </w:rPr>
      </w:pPr>
      <w:r w:rsidRPr="0044448D">
        <w:rPr>
          <w:rFonts w:cstheme="minorHAnsi"/>
          <w:color w:val="000000" w:themeColor="text1"/>
        </w:rPr>
        <w:t>The evidence cited in the Application is drawn from the 2021 WHO Classification of Tumours of the Central Nervous System, which is the reference standard for diagnosing gliomas. MSAC has previously accepted inclusion in WHO Classification as sufficient demonstration of diagnostic utility (e.g., Application 1532</w:t>
      </w:r>
      <w:r w:rsidRPr="0044448D">
        <w:rPr>
          <w:color w:val="000000" w:themeColor="text1"/>
        </w:rPr>
        <w:t>).</w:t>
      </w:r>
    </w:p>
    <w:p w14:paraId="522FDF25" w14:textId="77777777" w:rsidR="00762925" w:rsidRPr="0044448D" w:rsidRDefault="00762925" w:rsidP="00762925">
      <w:pPr>
        <w:pStyle w:val="Instructionaltext-afterfiguretable"/>
        <w:spacing w:before="0"/>
        <w:jc w:val="both"/>
        <w:rPr>
          <w:rFonts w:cstheme="minorHAnsi"/>
          <w:color w:val="000000" w:themeColor="text1"/>
        </w:rPr>
      </w:pPr>
      <w:r w:rsidRPr="0044448D">
        <w:rPr>
          <w:rFonts w:cstheme="minorHAnsi"/>
          <w:color w:val="000000" w:themeColor="text1"/>
        </w:rPr>
        <w:t>Two additional publications, including from one Australian centre, were cited by the Applicant as providing evidence of a change in the diagnosis with NGS testing for gliomas, including those sent for a specialist referral but also within a large series review in a Dutch service. Evidence of a change in health outcomes can be inferred from the rate of change of diagnoses but the impact cannot be directly measured by standard health outcomes and clinical endpoints such as progression-free or overall survival, nor readily by a linked analysis because the pathology service may not be aware of the outcomes of patients especially when consulted for a second opinion, and these tumours are rare, making a large study difficult to undertake.</w:t>
      </w:r>
    </w:p>
    <w:p w14:paraId="11906729" w14:textId="67B8F67A" w:rsidR="00762925" w:rsidRPr="00CE28E3" w:rsidRDefault="00BE1D5B" w:rsidP="00762925">
      <w:pPr>
        <w:pStyle w:val="Heading2"/>
        <w:numPr>
          <w:ilvl w:val="0"/>
          <w:numId w:val="0"/>
        </w:numPr>
      </w:pPr>
      <w:bookmarkStart w:id="32" w:name="_Toc97723471"/>
      <w:r>
        <w:t>11</w:t>
      </w:r>
      <w:r w:rsidR="00762925">
        <w:t>.</w:t>
      </w:r>
      <w:r w:rsidR="00762925">
        <w:tab/>
      </w:r>
      <w:r w:rsidR="00762925" w:rsidRPr="00CE28E3">
        <w:t>Comparative safety</w:t>
      </w:r>
      <w:bookmarkEnd w:id="32"/>
    </w:p>
    <w:p w14:paraId="6BD245C4" w14:textId="77777777" w:rsidR="00762925" w:rsidRPr="00BD1EE6" w:rsidRDefault="00762925" w:rsidP="00762925">
      <w:pPr>
        <w:pStyle w:val="Instructionaltext"/>
        <w:jc w:val="both"/>
        <w:rPr>
          <w:color w:val="000000" w:themeColor="text1"/>
        </w:rPr>
      </w:pPr>
      <w:r>
        <w:rPr>
          <w:color w:val="000000" w:themeColor="text1"/>
        </w:rPr>
        <w:t>Performing</w:t>
      </w:r>
      <w:r w:rsidRPr="00BD1EE6">
        <w:rPr>
          <w:color w:val="000000" w:themeColor="text1"/>
        </w:rPr>
        <w:t xml:space="preserve"> the proposed NGS panel test does not</w:t>
      </w:r>
      <w:r>
        <w:rPr>
          <w:color w:val="000000" w:themeColor="text1"/>
        </w:rPr>
        <w:t xml:space="preserve"> directly</w:t>
      </w:r>
      <w:r w:rsidRPr="00BD1EE6">
        <w:rPr>
          <w:color w:val="000000" w:themeColor="text1"/>
        </w:rPr>
        <w:t xml:space="preserve"> alter the safety profile of the </w:t>
      </w:r>
      <w:r>
        <w:rPr>
          <w:color w:val="000000" w:themeColor="text1"/>
        </w:rPr>
        <w:t>diagnostic process;</w:t>
      </w:r>
      <w:r w:rsidRPr="00BD1EE6">
        <w:rPr>
          <w:color w:val="000000" w:themeColor="text1"/>
        </w:rPr>
        <w:t xml:space="preserve"> </w:t>
      </w:r>
      <w:r>
        <w:rPr>
          <w:color w:val="000000" w:themeColor="text1"/>
        </w:rPr>
        <w:t>however, the clinical benefits of</w:t>
      </w:r>
      <w:r w:rsidRPr="00BD1EE6">
        <w:rPr>
          <w:color w:val="000000" w:themeColor="text1"/>
        </w:rPr>
        <w:t xml:space="preserve"> its faster turnaround time</w:t>
      </w:r>
      <w:r>
        <w:rPr>
          <w:color w:val="000000" w:themeColor="text1"/>
        </w:rPr>
        <w:t>, requiring less sample than sequential testing,</w:t>
      </w:r>
      <w:r w:rsidRPr="00BD1EE6">
        <w:rPr>
          <w:color w:val="000000" w:themeColor="text1"/>
        </w:rPr>
        <w:t xml:space="preserve"> </w:t>
      </w:r>
      <w:r>
        <w:rPr>
          <w:color w:val="000000" w:themeColor="text1"/>
        </w:rPr>
        <w:t xml:space="preserve">the </w:t>
      </w:r>
      <w:r w:rsidRPr="00BD1EE6">
        <w:rPr>
          <w:color w:val="000000" w:themeColor="text1"/>
        </w:rPr>
        <w:t>comprehensive information provided</w:t>
      </w:r>
      <w:r>
        <w:rPr>
          <w:color w:val="000000" w:themeColor="text1"/>
        </w:rPr>
        <w:t xml:space="preserve"> including accessing potentially effective or avoiding ineffective therapies</w:t>
      </w:r>
      <w:r w:rsidRPr="00BD1EE6">
        <w:rPr>
          <w:color w:val="000000" w:themeColor="text1"/>
        </w:rPr>
        <w:t xml:space="preserve">, </w:t>
      </w:r>
      <w:r>
        <w:rPr>
          <w:color w:val="000000" w:themeColor="text1"/>
        </w:rPr>
        <w:t>have the potential to impact</w:t>
      </w:r>
      <w:r w:rsidRPr="00BD1EE6">
        <w:rPr>
          <w:color w:val="000000" w:themeColor="text1"/>
        </w:rPr>
        <w:t xml:space="preserve"> safety.</w:t>
      </w:r>
    </w:p>
    <w:p w14:paraId="7CCB610B" w14:textId="1D39CB93" w:rsidR="00762925" w:rsidRDefault="00762925" w:rsidP="00762925">
      <w:pPr>
        <w:pStyle w:val="Heading2"/>
        <w:numPr>
          <w:ilvl w:val="0"/>
          <w:numId w:val="0"/>
        </w:numPr>
      </w:pPr>
      <w:bookmarkStart w:id="33" w:name="_Toc97723472"/>
      <w:r>
        <w:lastRenderedPageBreak/>
        <w:t>1</w:t>
      </w:r>
      <w:r w:rsidR="00BE1D5B">
        <w:t>2</w:t>
      </w:r>
      <w:r>
        <w:t>.</w:t>
      </w:r>
      <w:r>
        <w:tab/>
      </w:r>
      <w:r w:rsidRPr="00CE28E3">
        <w:t>Comparative effectiveness</w:t>
      </w:r>
      <w:bookmarkEnd w:id="33"/>
    </w:p>
    <w:p w14:paraId="2156D21E" w14:textId="77777777" w:rsidR="00762925" w:rsidRDefault="00762925" w:rsidP="00762925">
      <w:pPr>
        <w:pStyle w:val="Instructionaltext"/>
        <w:spacing w:after="0"/>
        <w:jc w:val="both"/>
        <w:rPr>
          <w:color w:val="000000" w:themeColor="text1"/>
        </w:rPr>
      </w:pPr>
      <w:r>
        <w:rPr>
          <w:color w:val="000000" w:themeColor="text1"/>
        </w:rPr>
        <w:t>In line with MSAC’s consideration of Application 1527,</w:t>
      </w:r>
      <w:r w:rsidRPr="00F03EF1">
        <w:rPr>
          <w:color w:val="000000" w:themeColor="text1"/>
        </w:rPr>
        <w:t xml:space="preserve"> </w:t>
      </w:r>
      <w:r>
        <w:rPr>
          <w:color w:val="000000" w:themeColor="text1"/>
        </w:rPr>
        <w:t>the</w:t>
      </w:r>
      <w:r w:rsidRPr="00F03EF1">
        <w:rPr>
          <w:color w:val="000000" w:themeColor="text1"/>
        </w:rPr>
        <w:t xml:space="preserve"> inclusion of biomarkers as essential for characterisation in the WHO criteria is </w:t>
      </w:r>
      <w:r>
        <w:rPr>
          <w:color w:val="000000" w:themeColor="text1"/>
        </w:rPr>
        <w:t xml:space="preserve">assumed to be </w:t>
      </w:r>
      <w:r w:rsidRPr="00F03EF1">
        <w:rPr>
          <w:color w:val="000000" w:themeColor="text1"/>
        </w:rPr>
        <w:t xml:space="preserve">sufficient to justify the clinical utility, </w:t>
      </w:r>
      <w:r>
        <w:rPr>
          <w:color w:val="000000" w:themeColor="text1"/>
        </w:rPr>
        <w:t xml:space="preserve">and therefore, </w:t>
      </w:r>
      <w:r w:rsidRPr="00F03EF1">
        <w:rPr>
          <w:color w:val="000000" w:themeColor="text1"/>
        </w:rPr>
        <w:t>this has not been re-examined</w:t>
      </w:r>
      <w:r>
        <w:rPr>
          <w:color w:val="000000" w:themeColor="text1"/>
        </w:rPr>
        <w:t xml:space="preserve"> in this report</w:t>
      </w:r>
      <w:r w:rsidRPr="00F03EF1">
        <w:rPr>
          <w:color w:val="000000" w:themeColor="text1"/>
        </w:rPr>
        <w:t xml:space="preserve">. </w:t>
      </w:r>
      <w:r>
        <w:rPr>
          <w:color w:val="000000" w:themeColor="text1"/>
        </w:rPr>
        <w:t>Further supportive evidence of clinical utility can be derived from the inclusion of many of these biomarkers in the NHSE Genomic Test Directory.</w:t>
      </w:r>
    </w:p>
    <w:p w14:paraId="1AC78AC3" w14:textId="77777777" w:rsidR="00762925" w:rsidRPr="0007441B" w:rsidRDefault="00762925" w:rsidP="00762925">
      <w:pPr>
        <w:pStyle w:val="Instructionaltext"/>
        <w:spacing w:after="0"/>
        <w:jc w:val="both"/>
      </w:pPr>
      <w:r>
        <w:rPr>
          <w:color w:val="000000" w:themeColor="text1"/>
        </w:rPr>
        <w:t>Therefore, to evaluate the clinical effectiveness claims, the emphasis in this report was placed upon the impact of NGS panels in changing diagnosis and potential alteration in clinical management.</w:t>
      </w:r>
    </w:p>
    <w:p w14:paraId="742327B7" w14:textId="77777777" w:rsidR="00762925" w:rsidRPr="00E63BC3" w:rsidRDefault="00762925" w:rsidP="00762925">
      <w:pPr>
        <w:pStyle w:val="Heading3"/>
      </w:pPr>
      <w:bookmarkStart w:id="34" w:name="_Toc97723473"/>
      <w:r w:rsidRPr="00E63BC3">
        <w:t>Clinical claim</w:t>
      </w:r>
      <w:bookmarkEnd w:id="34"/>
    </w:p>
    <w:p w14:paraId="03B77F43" w14:textId="77777777" w:rsidR="00762925" w:rsidRPr="0044448D" w:rsidRDefault="00762925" w:rsidP="00762925">
      <w:pPr>
        <w:pStyle w:val="Instructionaltext"/>
        <w:spacing w:after="0"/>
        <w:jc w:val="both"/>
        <w:rPr>
          <w:color w:val="000000" w:themeColor="text1"/>
        </w:rPr>
      </w:pPr>
      <w:r w:rsidRPr="0044448D">
        <w:rPr>
          <w:color w:val="000000" w:themeColor="text1"/>
        </w:rPr>
        <w:t>The publications cited by the Applicant support its claims that compared with the current testing available, publicly funding the Glioma panel via the MBS would:</w:t>
      </w:r>
    </w:p>
    <w:p w14:paraId="3199D07C" w14:textId="77777777" w:rsidR="00762925" w:rsidRPr="00A07C25" w:rsidRDefault="00762925" w:rsidP="00762925">
      <w:pPr>
        <w:pStyle w:val="ListParagraph"/>
        <w:numPr>
          <w:ilvl w:val="0"/>
          <w:numId w:val="14"/>
        </w:numPr>
        <w:ind w:left="1080"/>
        <w:jc w:val="both"/>
      </w:pPr>
      <w:r>
        <w:t>N</w:t>
      </w:r>
      <w:r w:rsidRPr="00A07C25">
        <w:t>egate the need for sequential gene testing which risks using all the available biopsy material</w:t>
      </w:r>
    </w:p>
    <w:p w14:paraId="74DFDFCA" w14:textId="77777777" w:rsidR="00762925" w:rsidRPr="00A07C25" w:rsidRDefault="00762925" w:rsidP="00762925">
      <w:pPr>
        <w:pStyle w:val="ListParagraph"/>
        <w:numPr>
          <w:ilvl w:val="0"/>
          <w:numId w:val="14"/>
        </w:numPr>
        <w:ind w:left="1080"/>
        <w:jc w:val="both"/>
      </w:pPr>
      <w:r>
        <w:t>H</w:t>
      </w:r>
      <w:r w:rsidRPr="00A07C25">
        <w:t>ave a faster turnaround time</w:t>
      </w:r>
      <w:r>
        <w:t>:</w:t>
      </w:r>
      <w:r w:rsidRPr="00A07C25">
        <w:t xml:space="preserve"> 2 weeks</w:t>
      </w:r>
      <w:r>
        <w:t>,</w:t>
      </w:r>
      <w:r w:rsidRPr="00A07C25">
        <w:t xml:space="preserve"> vs 6 weeks with sequential testing</w:t>
      </w:r>
    </w:p>
    <w:p w14:paraId="4B9931CE" w14:textId="77777777" w:rsidR="00762925" w:rsidRPr="00A07C25" w:rsidRDefault="00762925" w:rsidP="00762925">
      <w:pPr>
        <w:pStyle w:val="ListParagraph"/>
        <w:numPr>
          <w:ilvl w:val="0"/>
          <w:numId w:val="14"/>
        </w:numPr>
        <w:ind w:left="1080"/>
        <w:jc w:val="both"/>
      </w:pPr>
      <w:r>
        <w:t>P</w:t>
      </w:r>
      <w:r w:rsidRPr="00A07C25">
        <w:t>rovide comprehensive test results</w:t>
      </w:r>
    </w:p>
    <w:p w14:paraId="4F189B8E" w14:textId="77777777" w:rsidR="00762925" w:rsidRPr="00A07C25" w:rsidRDefault="00762925" w:rsidP="00762925">
      <w:pPr>
        <w:pStyle w:val="ListParagraph"/>
        <w:numPr>
          <w:ilvl w:val="0"/>
          <w:numId w:val="14"/>
        </w:numPr>
        <w:ind w:left="1080"/>
        <w:jc w:val="both"/>
      </w:pPr>
      <w:r>
        <w:t>A</w:t>
      </w:r>
      <w:r w:rsidRPr="00A07C25">
        <w:t>llow for treatment decisions to be made within clinically appropriate timeframes.</w:t>
      </w:r>
    </w:p>
    <w:p w14:paraId="7E1469C1" w14:textId="77777777" w:rsidR="00762925" w:rsidRPr="00A07C25" w:rsidRDefault="00762925" w:rsidP="00762925">
      <w:pPr>
        <w:pStyle w:val="ListParagraph"/>
        <w:numPr>
          <w:ilvl w:val="0"/>
          <w:numId w:val="14"/>
        </w:numPr>
        <w:ind w:left="1080"/>
        <w:jc w:val="both"/>
      </w:pPr>
      <w:r w:rsidRPr="00A07C25">
        <w:t xml:space="preserve">Resolve diagnostic uncertainty for histologically ambiguous gliomas </w:t>
      </w:r>
    </w:p>
    <w:p w14:paraId="702A02C7" w14:textId="77777777" w:rsidR="00762925" w:rsidRPr="00A07C25" w:rsidRDefault="00762925" w:rsidP="00762925">
      <w:pPr>
        <w:pStyle w:val="ListParagraph"/>
        <w:numPr>
          <w:ilvl w:val="0"/>
          <w:numId w:val="14"/>
        </w:numPr>
        <w:ind w:left="1080"/>
        <w:jc w:val="both"/>
      </w:pPr>
      <w:r w:rsidRPr="00A07C25">
        <w:t>Subclassify some gliomas, that cannot be identified any other way</w:t>
      </w:r>
    </w:p>
    <w:p w14:paraId="16B97B44" w14:textId="77777777" w:rsidR="00762925" w:rsidRPr="00A07C25" w:rsidRDefault="00762925" w:rsidP="00762925">
      <w:pPr>
        <w:pStyle w:val="ListParagraph"/>
        <w:numPr>
          <w:ilvl w:val="0"/>
          <w:numId w:val="14"/>
        </w:numPr>
        <w:ind w:left="1080"/>
        <w:jc w:val="both"/>
      </w:pPr>
      <w:r w:rsidRPr="00A07C25">
        <w:t>Support a more efficient workflow for pathology laboratories</w:t>
      </w:r>
    </w:p>
    <w:p w14:paraId="64BA93A0" w14:textId="77777777" w:rsidR="00762925" w:rsidRPr="00A07C25" w:rsidRDefault="00762925" w:rsidP="00762925">
      <w:pPr>
        <w:pStyle w:val="ListParagraph"/>
        <w:numPr>
          <w:ilvl w:val="0"/>
          <w:numId w:val="14"/>
        </w:numPr>
        <w:ind w:left="1080"/>
        <w:jc w:val="both"/>
      </w:pPr>
      <w:r>
        <w:t>C</w:t>
      </w:r>
      <w:r w:rsidRPr="00A07C25">
        <w:t>ombin</w:t>
      </w:r>
      <w:r>
        <w:t>e</w:t>
      </w:r>
      <w:r w:rsidRPr="00A07C25">
        <w:t xml:space="preserve"> multiple tests into one MBS item number for an NGS panel, simplifying administrative/billing processes</w:t>
      </w:r>
      <w:r>
        <w:t xml:space="preserve"> – but only if Item 73372 is removed.</w:t>
      </w:r>
    </w:p>
    <w:p w14:paraId="64BE5C9B" w14:textId="1D01BEE4" w:rsidR="00762925" w:rsidRPr="0044448D" w:rsidRDefault="00762925" w:rsidP="00762925">
      <w:pPr>
        <w:pStyle w:val="Instructionaltext"/>
        <w:spacing w:after="0"/>
        <w:jc w:val="both"/>
        <w:rPr>
          <w:color w:val="000000" w:themeColor="text1"/>
        </w:rPr>
      </w:pPr>
      <w:r w:rsidRPr="0044448D">
        <w:rPr>
          <w:color w:val="000000" w:themeColor="text1"/>
        </w:rPr>
        <w:t xml:space="preserve">Additional benefits of a comprehensive glioma panel including </w:t>
      </w:r>
      <w:r w:rsidR="00AE4007">
        <w:rPr>
          <w:color w:val="000000" w:themeColor="text1"/>
        </w:rPr>
        <w:t>predictive</w:t>
      </w:r>
      <w:r w:rsidRPr="0044448D">
        <w:rPr>
          <w:color w:val="000000" w:themeColor="text1"/>
        </w:rPr>
        <w:t xml:space="preserve"> biomarkers in this population with high unmet need would be:</w:t>
      </w:r>
    </w:p>
    <w:p w14:paraId="75F38D55" w14:textId="77777777" w:rsidR="00762925" w:rsidRDefault="00762925" w:rsidP="00762925">
      <w:pPr>
        <w:pStyle w:val="ListParagraph"/>
        <w:numPr>
          <w:ilvl w:val="0"/>
          <w:numId w:val="20"/>
        </w:numPr>
        <w:jc w:val="both"/>
      </w:pPr>
      <w:r w:rsidRPr="001B058F">
        <w:t>alignment with diagnostic criteria per the most recent WHO guidelines, which would facilitate a more accurate diagnosis</w:t>
      </w:r>
      <w:r>
        <w:t xml:space="preserve"> and</w:t>
      </w:r>
      <w:r w:rsidRPr="001B058F">
        <w:t xml:space="preserve"> prognosis</w:t>
      </w:r>
    </w:p>
    <w:p w14:paraId="1B81ECB8" w14:textId="77777777" w:rsidR="00762925" w:rsidRPr="004D54D5" w:rsidRDefault="00762925" w:rsidP="00762925">
      <w:pPr>
        <w:pStyle w:val="ListParagraph"/>
        <w:numPr>
          <w:ilvl w:val="0"/>
          <w:numId w:val="20"/>
        </w:numPr>
        <w:jc w:val="both"/>
      </w:pPr>
      <w:r>
        <w:t>to</w:t>
      </w:r>
      <w:r w:rsidRPr="001B058F">
        <w:t xml:space="preserve"> </w:t>
      </w:r>
      <w:r>
        <w:t>expand</w:t>
      </w:r>
      <w:r w:rsidRPr="001B058F">
        <w:t xml:space="preserve"> treatment </w:t>
      </w:r>
      <w:r>
        <w:t xml:space="preserve">options </w:t>
      </w:r>
      <w:r w:rsidRPr="001B058F">
        <w:t xml:space="preserve">including eligibility </w:t>
      </w:r>
      <w:r>
        <w:t>for</w:t>
      </w:r>
      <w:r w:rsidRPr="001B058F">
        <w:t xml:space="preserve"> </w:t>
      </w:r>
      <w:r>
        <w:t>investigational and approved therapies</w:t>
      </w:r>
    </w:p>
    <w:p w14:paraId="6263059D" w14:textId="327435A9" w:rsidR="00762925" w:rsidRDefault="002A5B97" w:rsidP="00762925">
      <w:pPr>
        <w:pStyle w:val="Heading2"/>
        <w:numPr>
          <w:ilvl w:val="0"/>
          <w:numId w:val="0"/>
        </w:numPr>
      </w:pPr>
      <w:bookmarkStart w:id="35" w:name="_Toc97723474"/>
      <w:r>
        <w:t xml:space="preserve"> </w:t>
      </w:r>
      <w:r w:rsidR="00762925">
        <w:t>1</w:t>
      </w:r>
      <w:r w:rsidR="00BE1D5B">
        <w:t>3</w:t>
      </w:r>
      <w:r w:rsidR="00762925">
        <w:t>.</w:t>
      </w:r>
      <w:r w:rsidR="00762925">
        <w:tab/>
      </w:r>
      <w:r w:rsidR="00762925" w:rsidRPr="00CE28E3">
        <w:t>Economic evaluation</w:t>
      </w:r>
      <w:bookmarkEnd w:id="35"/>
    </w:p>
    <w:p w14:paraId="0BDB4FC6" w14:textId="77777777" w:rsidR="00762925" w:rsidRPr="0044448D" w:rsidRDefault="00762925" w:rsidP="00762925">
      <w:pPr>
        <w:pStyle w:val="Instructionaltext"/>
        <w:spacing w:after="0"/>
        <w:jc w:val="both"/>
        <w:rPr>
          <w:color w:val="000000" w:themeColor="text1"/>
        </w:rPr>
      </w:pPr>
      <w:r w:rsidRPr="00BE1D5B">
        <w:rPr>
          <w:color w:val="auto"/>
        </w:rPr>
        <w:t xml:space="preserve">The MSAC Executive advised on 28 January 2022 that a pragmatic economic analysis should be </w:t>
      </w:r>
      <w:r w:rsidRPr="0044448D">
        <w:rPr>
          <w:color w:val="000000" w:themeColor="text1"/>
        </w:rPr>
        <w:t>adopted in assessing this application. The MSAC Executive recalled its prior advice that ‘cost per informative result’ may be useful and that in the somatic context a negative result could also be informative. The MSAC Executive advised that the DCAR should include at least cost-effectiveness measures similar to ‘cost per pathogenic or likely pathogenic variant identified’ or ‘cost per patient without any pathogenic or likely pathogenic variants’.</w:t>
      </w:r>
    </w:p>
    <w:p w14:paraId="6EA0201F" w14:textId="3C1CAA55" w:rsidR="00762925" w:rsidRPr="00021DE5" w:rsidRDefault="00A2660A" w:rsidP="00021DE5">
      <w:pPr>
        <w:pStyle w:val="Instructionaltext"/>
        <w:spacing w:after="0"/>
        <w:jc w:val="both"/>
        <w:rPr>
          <w:color w:val="000000" w:themeColor="text1"/>
        </w:rPr>
      </w:pPr>
      <w:r>
        <w:rPr>
          <w:color w:val="000000" w:themeColor="text1"/>
        </w:rPr>
        <w:t>W</w:t>
      </w:r>
      <w:r w:rsidR="00762925" w:rsidRPr="0044448D">
        <w:rPr>
          <w:color w:val="000000" w:themeColor="text1"/>
        </w:rPr>
        <w:t xml:space="preserve">ith NGS somatic testing to characterise gliomas, a result that does not identify a variant is still informative as part of the WHO integrated diagnosis, as some </w:t>
      </w:r>
      <w:r w:rsidR="00405D7D">
        <w:rPr>
          <w:color w:val="000000" w:themeColor="text1"/>
        </w:rPr>
        <w:t xml:space="preserve">glioma </w:t>
      </w:r>
      <w:r w:rsidR="00762925" w:rsidRPr="0044448D">
        <w:rPr>
          <w:color w:val="000000" w:themeColor="text1"/>
        </w:rPr>
        <w:t>entities are defined by the presence or absence of one or more variants; and therefore propose</w:t>
      </w:r>
      <w:r w:rsidR="00405D7D">
        <w:rPr>
          <w:color w:val="000000" w:themeColor="text1"/>
        </w:rPr>
        <w:t>d</w:t>
      </w:r>
      <w:r w:rsidR="00237848">
        <w:rPr>
          <w:color w:val="000000" w:themeColor="text1"/>
        </w:rPr>
        <w:t xml:space="preserve"> </w:t>
      </w:r>
      <w:r w:rsidR="00762925" w:rsidRPr="0044448D">
        <w:rPr>
          <w:color w:val="000000" w:themeColor="text1"/>
        </w:rPr>
        <w:t>the cost per patient where testing with an NGS Glioma panel</w:t>
      </w:r>
      <w:r>
        <w:rPr>
          <w:color w:val="000000" w:themeColor="text1"/>
        </w:rPr>
        <w:t xml:space="preserve"> </w:t>
      </w:r>
      <w:r w:rsidR="00762925" w:rsidRPr="00021DE5">
        <w:rPr>
          <w:color w:val="000000" w:themeColor="text1"/>
        </w:rPr>
        <w:t xml:space="preserve">yields an informative result </w:t>
      </w:r>
      <w:r>
        <w:rPr>
          <w:color w:val="000000" w:themeColor="text1"/>
        </w:rPr>
        <w:t>was calculated on the basis of the test yielding</w:t>
      </w:r>
      <w:r w:rsidR="00762925" w:rsidRPr="00021DE5">
        <w:rPr>
          <w:color w:val="000000" w:themeColor="text1"/>
        </w:rPr>
        <w:t xml:space="preserve"> information that alters the diagnosis and management (which includes ruling out potential differential diagnoses that remain after prior testing e.g., those tumour types that can only be diagnosed with molecular testing per WHO CNS5; or that eliminates a diagnosis of malignancy where there is uncertainty). </w:t>
      </w:r>
    </w:p>
    <w:p w14:paraId="0008D2E2" w14:textId="0E7DD847" w:rsidR="00762925" w:rsidRPr="0044448D" w:rsidRDefault="00762925" w:rsidP="00867CDF">
      <w:pPr>
        <w:pStyle w:val="Instructionaltext"/>
        <w:spacing w:before="240" w:after="0"/>
        <w:jc w:val="both"/>
        <w:rPr>
          <w:color w:val="000000" w:themeColor="text1"/>
        </w:rPr>
      </w:pPr>
      <w:r w:rsidRPr="0044448D">
        <w:rPr>
          <w:color w:val="000000" w:themeColor="text1"/>
        </w:rPr>
        <w:lastRenderedPageBreak/>
        <w:t>In a large retrospective series of 443 gliomas analysed with an NGS panel, survival outcomes were presented based on a molecular diagnosis alone according to the pattern of expression or diagnosis obtained. Prognostic information was obtained for different subgroups, including where no variants were identified, or where only variants that do not define a specific entity were identified</w:t>
      </w:r>
      <w:r w:rsidR="00202921">
        <w:rPr>
          <w:rStyle w:val="FootnoteReference"/>
          <w:color w:val="000000" w:themeColor="text1"/>
        </w:rPr>
        <w:footnoteReference w:id="24"/>
      </w:r>
      <w:r w:rsidRPr="0044448D">
        <w:rPr>
          <w:color w:val="000000" w:themeColor="text1"/>
        </w:rPr>
        <w:t xml:space="preserve">. Although used to identify </w:t>
      </w:r>
      <w:r w:rsidR="00AE4007">
        <w:rPr>
          <w:color w:val="000000" w:themeColor="text1"/>
        </w:rPr>
        <w:t>predictive</w:t>
      </w:r>
      <w:r w:rsidRPr="0044448D">
        <w:rPr>
          <w:color w:val="000000" w:themeColor="text1"/>
        </w:rPr>
        <w:t xml:space="preserve"> variants and eligibility for clinical trials, the diagnostic yield for this purpose was not presented separately. </w:t>
      </w:r>
    </w:p>
    <w:p w14:paraId="6D8EC8EB" w14:textId="35299424" w:rsidR="00762925" w:rsidRPr="0044448D" w:rsidRDefault="00762925" w:rsidP="00867CDF">
      <w:pPr>
        <w:pStyle w:val="Instructionaltext"/>
        <w:spacing w:before="240" w:after="0"/>
        <w:jc w:val="both"/>
        <w:rPr>
          <w:color w:val="000000" w:themeColor="text1"/>
        </w:rPr>
      </w:pPr>
      <w:r w:rsidRPr="0044448D">
        <w:rPr>
          <w:color w:val="000000" w:themeColor="text1"/>
        </w:rPr>
        <w:t>In a smaller Australian dataset that focussed on diagnostic effectiveness (71 assessable test results with histological data for comparison) with prognostic information reported based on the variants identified (rather than from following patient outcomes as in the Dutch study above) and predictive value was not reported, Cheung et al (2021)</w:t>
      </w:r>
      <w:r w:rsidR="00202921" w:rsidRPr="00202921">
        <w:rPr>
          <w:rFonts w:cstheme="minorHAnsi"/>
          <w:iCs/>
          <w:color w:val="auto"/>
          <w:vertAlign w:val="superscript"/>
        </w:rPr>
        <w:footnoteReference w:id="25"/>
      </w:r>
      <w:r w:rsidRPr="00202921">
        <w:rPr>
          <w:color w:val="auto"/>
        </w:rPr>
        <w:t xml:space="preserve"> </w:t>
      </w:r>
      <w:r w:rsidRPr="0044448D">
        <w:rPr>
          <w:color w:val="000000" w:themeColor="text1"/>
        </w:rPr>
        <w:t>reported 93% of patients had a test result that informed the diagnosis using an NGS panel examining 26 genes or chromosomes that are frequently aberrant in gliomas. This predated the inclusion in the MBS of the Items 73371 and 73372.</w:t>
      </w:r>
    </w:p>
    <w:p w14:paraId="19BECEA5" w14:textId="3C627E20" w:rsidR="00762925" w:rsidRPr="0044448D" w:rsidRDefault="00762925" w:rsidP="00867CDF">
      <w:pPr>
        <w:pStyle w:val="Instructionaltext"/>
        <w:spacing w:before="240" w:after="0"/>
        <w:jc w:val="both"/>
        <w:rPr>
          <w:color w:val="000000" w:themeColor="text1"/>
        </w:rPr>
      </w:pPr>
      <w:r w:rsidRPr="0044448D">
        <w:rPr>
          <w:color w:val="000000" w:themeColor="text1"/>
        </w:rPr>
        <w:t xml:space="preserve">Neither of the publications used NGS panels that incorporate all the biomarkers in WHO CNS5, nor all </w:t>
      </w:r>
      <w:r w:rsidR="00AE4007">
        <w:rPr>
          <w:color w:val="000000" w:themeColor="text1"/>
        </w:rPr>
        <w:t>predictive</w:t>
      </w:r>
      <w:r w:rsidRPr="0044448D">
        <w:rPr>
          <w:color w:val="000000" w:themeColor="text1"/>
        </w:rPr>
        <w:t xml:space="preserve"> variants reported in gliomas to date, and therefore there is likely to be additional clinical utility, and important decision-making information provided for a greater proportion of patients if expanded to incorporate these; however, determining the cost-effectiveness of an expanded panel requires the proposed panel composition to be defined and a costing that reflects the complexity of comprehensive testing.</w:t>
      </w:r>
    </w:p>
    <w:p w14:paraId="71092488" w14:textId="587A83E9" w:rsidR="00237848" w:rsidRPr="00237848" w:rsidRDefault="00762925" w:rsidP="00237848">
      <w:pPr>
        <w:pStyle w:val="Instructionaltext"/>
        <w:spacing w:before="240" w:after="0"/>
        <w:jc w:val="both"/>
        <w:rPr>
          <w:color w:val="000000" w:themeColor="text1"/>
        </w:rPr>
      </w:pPr>
      <w:r w:rsidRPr="0044448D">
        <w:rPr>
          <w:color w:val="000000" w:themeColor="text1"/>
        </w:rPr>
        <w:t>To undertake a comparative cost-effectiveness analysis to provide a value proposition with listing of an NGS panel compared the currently listed items, the diagnostic, prognostic and predictive yield was analysed from the Australian study</w:t>
      </w:r>
      <w:r w:rsidR="00354CD1">
        <w:rPr>
          <w:color w:val="000000" w:themeColor="text1"/>
          <w:vertAlign w:val="superscript"/>
        </w:rPr>
        <w:t>24</w:t>
      </w:r>
      <w:r w:rsidRPr="0044448D">
        <w:rPr>
          <w:color w:val="000000" w:themeColor="text1"/>
        </w:rPr>
        <w:t xml:space="preserve">. </w:t>
      </w:r>
      <w:proofErr w:type="spellStart"/>
      <w:r w:rsidRPr="0044448D">
        <w:rPr>
          <w:color w:val="000000" w:themeColor="text1"/>
        </w:rPr>
        <w:t>deWitt</w:t>
      </w:r>
      <w:proofErr w:type="spellEnd"/>
      <w:r w:rsidRPr="0044448D">
        <w:rPr>
          <w:color w:val="000000" w:themeColor="text1"/>
        </w:rPr>
        <w:t xml:space="preserve"> et al</w:t>
      </w:r>
      <w:r w:rsidR="00354CD1">
        <w:rPr>
          <w:color w:val="000000" w:themeColor="text1"/>
        </w:rPr>
        <w:t>.</w:t>
      </w:r>
      <w:r w:rsidRPr="0044448D">
        <w:rPr>
          <w:color w:val="000000" w:themeColor="text1"/>
        </w:rPr>
        <w:t xml:space="preserve"> (2017)</w:t>
      </w:r>
      <w:r w:rsidR="00354CD1">
        <w:rPr>
          <w:rStyle w:val="FootnoteReference"/>
          <w:color w:val="000000" w:themeColor="text1"/>
        </w:rPr>
        <w:footnoteReference w:id="26"/>
      </w:r>
      <w:r w:rsidRPr="0044448D">
        <w:rPr>
          <w:color w:val="000000" w:themeColor="text1"/>
        </w:rPr>
        <w:t xml:space="preserve"> reported the diagnostic yield in patients with gliomas receiving just 1p/19q and </w:t>
      </w:r>
      <w:r w:rsidRPr="0044448D">
        <w:rPr>
          <w:i/>
          <w:iCs/>
          <w:color w:val="000000" w:themeColor="text1"/>
        </w:rPr>
        <w:t>IDH1/2</w:t>
      </w:r>
      <w:r w:rsidRPr="0044448D">
        <w:rPr>
          <w:color w:val="000000" w:themeColor="text1"/>
        </w:rPr>
        <w:t xml:space="preserve"> testing (Items 73371 and 73372) and this was used to support calculation of testing outcomes where not reported in the Australian study. Based on the Australian dataset, which provided a list of altered or refined diagnoses, or where prognosis was altered using the NGS panel compared with histological assessment alone, it was possible to identify those cases which may have been detected with the single genetic tests currently funded by the MBS (i.e. the comparator). As the NGS panel was not designed to detect therapeutic targets and these were not reported, a literature-based approach was taken to determine from this Australian panel of genes and copy number variants, the likely detection of </w:t>
      </w:r>
      <w:r w:rsidR="00AE4007">
        <w:rPr>
          <w:color w:val="000000" w:themeColor="text1"/>
        </w:rPr>
        <w:t>predictive</w:t>
      </w:r>
      <w:r w:rsidRPr="0044448D">
        <w:rPr>
          <w:color w:val="000000" w:themeColor="text1"/>
        </w:rPr>
        <w:t xml:space="preserve"> targets and the ICER for NGS panel presented with the diagnostic, prognostic and predictive detection rates combined. Incremental cost-effectiveness ratios (ICERs) for the different test purposes are presented below (</w:t>
      </w:r>
      <w:r w:rsidR="00202921">
        <w:rPr>
          <w:color w:val="000000" w:themeColor="text1"/>
        </w:rPr>
        <w:t>Table 6</w:t>
      </w:r>
      <w:r w:rsidRPr="0044448D">
        <w:rPr>
          <w:color w:val="000000" w:themeColor="text1"/>
        </w:rPr>
        <w:t>).</w:t>
      </w:r>
      <w:bookmarkStart w:id="36" w:name="_Ref97646627"/>
      <w:r w:rsidR="00237848">
        <w:br w:type="page"/>
      </w:r>
    </w:p>
    <w:p w14:paraId="0AB255A4" w14:textId="5396CC6D" w:rsidR="00762925" w:rsidRDefault="00762925" w:rsidP="00762925">
      <w:pPr>
        <w:pStyle w:val="Caption"/>
      </w:pPr>
      <w:r>
        <w:lastRenderedPageBreak/>
        <w:t xml:space="preserve">Table </w:t>
      </w:r>
      <w:fldSimple w:instr=" SEQ Table \* ARABIC ">
        <w:r w:rsidR="00C00851">
          <w:rPr>
            <w:noProof/>
          </w:rPr>
          <w:t>6</w:t>
        </w:r>
      </w:fldSimple>
      <w:bookmarkEnd w:id="36"/>
      <w:r>
        <w:tab/>
        <w:t>Cost-effectiveness of glioma gene panel testing for a range of effectiveness measures</w:t>
      </w:r>
    </w:p>
    <w:tbl>
      <w:tblPr>
        <w:tblStyle w:val="TableGrid"/>
        <w:tblW w:w="0" w:type="auto"/>
        <w:tblLayout w:type="fixed"/>
        <w:tblLook w:val="04A0" w:firstRow="1" w:lastRow="0" w:firstColumn="1" w:lastColumn="0" w:noHBand="0" w:noVBand="1"/>
        <w:tblDescription w:val="Cost-effectiveness of glioma gene panel testing for a range of effectiveness measures"/>
      </w:tblPr>
      <w:tblGrid>
        <w:gridCol w:w="4191"/>
        <w:gridCol w:w="1206"/>
        <w:gridCol w:w="1206"/>
        <w:gridCol w:w="1206"/>
        <w:gridCol w:w="1207"/>
      </w:tblGrid>
      <w:tr w:rsidR="00762925" w:rsidRPr="00DB45EC" w14:paraId="4D92431B" w14:textId="77777777" w:rsidTr="003B72B7">
        <w:tc>
          <w:tcPr>
            <w:tcW w:w="4191" w:type="dxa"/>
          </w:tcPr>
          <w:p w14:paraId="768C2E6B" w14:textId="77777777" w:rsidR="00762925" w:rsidRPr="0044448D" w:rsidRDefault="00762925" w:rsidP="001315CE">
            <w:pPr>
              <w:pStyle w:val="TableHeading0"/>
              <w:rPr>
                <w:szCs w:val="20"/>
              </w:rPr>
            </w:pPr>
            <w:bookmarkStart w:id="37" w:name="_Hlk97646254"/>
          </w:p>
        </w:tc>
        <w:tc>
          <w:tcPr>
            <w:tcW w:w="1206" w:type="dxa"/>
          </w:tcPr>
          <w:p w14:paraId="7ADDC7C3" w14:textId="77777777" w:rsidR="00762925" w:rsidRPr="0044448D" w:rsidRDefault="00762925" w:rsidP="001315CE">
            <w:pPr>
              <w:pStyle w:val="TableHeading0"/>
              <w:jc w:val="center"/>
              <w:rPr>
                <w:szCs w:val="20"/>
              </w:rPr>
            </w:pPr>
            <w:r w:rsidRPr="0044448D">
              <w:rPr>
                <w:szCs w:val="20"/>
              </w:rPr>
              <w:t>Intervention</w:t>
            </w:r>
          </w:p>
        </w:tc>
        <w:tc>
          <w:tcPr>
            <w:tcW w:w="1206" w:type="dxa"/>
          </w:tcPr>
          <w:p w14:paraId="29457EA6" w14:textId="77777777" w:rsidR="00762925" w:rsidRPr="0044448D" w:rsidRDefault="00762925" w:rsidP="001315CE">
            <w:pPr>
              <w:pStyle w:val="TableHeading0"/>
              <w:jc w:val="center"/>
              <w:rPr>
                <w:szCs w:val="20"/>
              </w:rPr>
            </w:pPr>
            <w:r w:rsidRPr="0044448D">
              <w:rPr>
                <w:szCs w:val="20"/>
              </w:rPr>
              <w:t>Comparator</w:t>
            </w:r>
          </w:p>
        </w:tc>
        <w:tc>
          <w:tcPr>
            <w:tcW w:w="1206" w:type="dxa"/>
          </w:tcPr>
          <w:p w14:paraId="6A18750D" w14:textId="77777777" w:rsidR="00762925" w:rsidRPr="0044448D" w:rsidRDefault="00762925" w:rsidP="001315CE">
            <w:pPr>
              <w:pStyle w:val="TableHeading0"/>
              <w:jc w:val="center"/>
              <w:rPr>
                <w:szCs w:val="20"/>
              </w:rPr>
            </w:pPr>
            <w:r w:rsidRPr="0044448D">
              <w:rPr>
                <w:szCs w:val="20"/>
              </w:rPr>
              <w:t>Increment</w:t>
            </w:r>
          </w:p>
        </w:tc>
        <w:tc>
          <w:tcPr>
            <w:tcW w:w="1207" w:type="dxa"/>
          </w:tcPr>
          <w:p w14:paraId="474F7041" w14:textId="77777777" w:rsidR="00762925" w:rsidRPr="0044448D" w:rsidRDefault="00762925" w:rsidP="001315CE">
            <w:pPr>
              <w:pStyle w:val="TableHeading0"/>
              <w:jc w:val="center"/>
              <w:rPr>
                <w:szCs w:val="20"/>
              </w:rPr>
            </w:pPr>
            <w:r w:rsidRPr="0044448D">
              <w:rPr>
                <w:szCs w:val="20"/>
              </w:rPr>
              <w:t>ICER</w:t>
            </w:r>
          </w:p>
        </w:tc>
      </w:tr>
      <w:tr w:rsidR="00762925" w:rsidRPr="00DB45EC" w14:paraId="490709D1" w14:textId="77777777" w:rsidTr="003B72B7">
        <w:tc>
          <w:tcPr>
            <w:tcW w:w="4191" w:type="dxa"/>
          </w:tcPr>
          <w:p w14:paraId="7F25464F" w14:textId="77777777" w:rsidR="00762925" w:rsidRPr="0044448D" w:rsidRDefault="00762925" w:rsidP="001315CE">
            <w:pPr>
              <w:pStyle w:val="TableText"/>
            </w:pPr>
            <w:r w:rsidRPr="0044448D">
              <w:t>Cost of testing</w:t>
            </w:r>
          </w:p>
        </w:tc>
        <w:tc>
          <w:tcPr>
            <w:tcW w:w="1206" w:type="dxa"/>
          </w:tcPr>
          <w:p w14:paraId="54074D4B" w14:textId="06ACD8A9" w:rsidR="00762925" w:rsidRPr="0044448D" w:rsidRDefault="00762925" w:rsidP="001315CE">
            <w:pPr>
              <w:pStyle w:val="TableText"/>
              <w:jc w:val="center"/>
            </w:pPr>
            <w:r w:rsidRPr="0044448D">
              <w:t>$</w:t>
            </w:r>
            <w:r>
              <w:t>8</w:t>
            </w:r>
            <w:r w:rsidR="00300F47">
              <w:t>87.90</w:t>
            </w:r>
          </w:p>
        </w:tc>
        <w:tc>
          <w:tcPr>
            <w:tcW w:w="1206" w:type="dxa"/>
          </w:tcPr>
          <w:p w14:paraId="372D152E" w14:textId="77777777" w:rsidR="00762925" w:rsidRPr="0044448D" w:rsidRDefault="00762925" w:rsidP="001315CE">
            <w:pPr>
              <w:pStyle w:val="TableText"/>
              <w:jc w:val="center"/>
            </w:pPr>
            <w:r w:rsidRPr="0044448D">
              <w:t>$</w:t>
            </w:r>
            <w:r>
              <w:t>340</w:t>
            </w:r>
          </w:p>
        </w:tc>
        <w:tc>
          <w:tcPr>
            <w:tcW w:w="1206" w:type="dxa"/>
          </w:tcPr>
          <w:p w14:paraId="579264DE" w14:textId="30008504" w:rsidR="00762925" w:rsidRPr="0044448D" w:rsidRDefault="00762925" w:rsidP="001315CE">
            <w:pPr>
              <w:pStyle w:val="TableText"/>
              <w:jc w:val="center"/>
            </w:pPr>
            <w:r w:rsidRPr="0044448D">
              <w:t>$</w:t>
            </w:r>
            <w:r w:rsidR="00300F47">
              <w:t>547.90</w:t>
            </w:r>
          </w:p>
        </w:tc>
        <w:tc>
          <w:tcPr>
            <w:tcW w:w="1207" w:type="dxa"/>
          </w:tcPr>
          <w:p w14:paraId="26348CB7" w14:textId="77777777" w:rsidR="00762925" w:rsidRPr="0044448D" w:rsidRDefault="00762925" w:rsidP="001315CE">
            <w:pPr>
              <w:pStyle w:val="TableText"/>
              <w:jc w:val="center"/>
            </w:pPr>
          </w:p>
        </w:tc>
      </w:tr>
      <w:tr w:rsidR="00762925" w:rsidRPr="00656F43" w14:paraId="4A01C702" w14:textId="77777777" w:rsidTr="003B72B7">
        <w:tc>
          <w:tcPr>
            <w:tcW w:w="9016" w:type="dxa"/>
            <w:gridSpan w:val="5"/>
          </w:tcPr>
          <w:p w14:paraId="2E107FC0" w14:textId="77777777" w:rsidR="00762925" w:rsidRPr="003B72B7" w:rsidRDefault="00762925" w:rsidP="001315CE">
            <w:pPr>
              <w:pStyle w:val="TableText"/>
            </w:pPr>
            <w:r w:rsidRPr="003B72B7">
              <w:t>Effectiveness measures:</w:t>
            </w:r>
          </w:p>
        </w:tc>
      </w:tr>
      <w:tr w:rsidR="00300F47" w:rsidRPr="00300F47" w14:paraId="29528826" w14:textId="77777777" w:rsidTr="003B72B7">
        <w:tc>
          <w:tcPr>
            <w:tcW w:w="4191" w:type="dxa"/>
          </w:tcPr>
          <w:p w14:paraId="5B5FA1A3" w14:textId="69EC61D5" w:rsidR="00300F47" w:rsidRPr="003B72B7" w:rsidRDefault="00300F47" w:rsidP="001315CE">
            <w:pPr>
              <w:pStyle w:val="TableText"/>
              <w:rPr>
                <w:i/>
                <w:iCs/>
              </w:rPr>
            </w:pPr>
            <w:r w:rsidRPr="003B72B7">
              <w:rPr>
                <w:i/>
                <w:iCs/>
              </w:rPr>
              <w:t>Patients receiving a result that altered their diagnosis</w:t>
            </w:r>
          </w:p>
        </w:tc>
        <w:tc>
          <w:tcPr>
            <w:tcW w:w="1206" w:type="dxa"/>
          </w:tcPr>
          <w:p w14:paraId="7EC8D86E" w14:textId="44A8C23A" w:rsidR="00300F47" w:rsidRPr="003B72B7" w:rsidRDefault="00300F47" w:rsidP="001315CE">
            <w:pPr>
              <w:pStyle w:val="TableText"/>
              <w:jc w:val="center"/>
              <w:rPr>
                <w:i/>
                <w:iCs/>
              </w:rPr>
            </w:pPr>
            <w:r>
              <w:rPr>
                <w:i/>
                <w:iCs/>
              </w:rPr>
              <w:t>0.211</w:t>
            </w:r>
          </w:p>
        </w:tc>
        <w:tc>
          <w:tcPr>
            <w:tcW w:w="1206" w:type="dxa"/>
          </w:tcPr>
          <w:p w14:paraId="7A23FB94" w14:textId="0290B1D5" w:rsidR="00300F47" w:rsidRPr="003B72B7" w:rsidRDefault="00300F47" w:rsidP="001315CE">
            <w:pPr>
              <w:pStyle w:val="TableText"/>
              <w:jc w:val="center"/>
              <w:rPr>
                <w:i/>
                <w:iCs/>
              </w:rPr>
            </w:pPr>
            <w:r>
              <w:rPr>
                <w:i/>
                <w:iCs/>
              </w:rPr>
              <w:t>0.001</w:t>
            </w:r>
          </w:p>
        </w:tc>
        <w:tc>
          <w:tcPr>
            <w:tcW w:w="1206" w:type="dxa"/>
          </w:tcPr>
          <w:p w14:paraId="51775447" w14:textId="72E32728" w:rsidR="00300F47" w:rsidRPr="003B72B7" w:rsidRDefault="00300F47" w:rsidP="001315CE">
            <w:pPr>
              <w:pStyle w:val="TableText"/>
              <w:jc w:val="center"/>
              <w:rPr>
                <w:i/>
                <w:iCs/>
              </w:rPr>
            </w:pPr>
            <w:r>
              <w:rPr>
                <w:i/>
                <w:iCs/>
              </w:rPr>
              <w:t>0.210</w:t>
            </w:r>
          </w:p>
        </w:tc>
        <w:tc>
          <w:tcPr>
            <w:tcW w:w="1207" w:type="dxa"/>
          </w:tcPr>
          <w:p w14:paraId="69E8F6D7" w14:textId="39C9C403" w:rsidR="00300F47" w:rsidRPr="003B72B7" w:rsidRDefault="00300F47" w:rsidP="001315CE">
            <w:pPr>
              <w:pStyle w:val="TableText"/>
              <w:jc w:val="center"/>
              <w:rPr>
                <w:i/>
                <w:iCs/>
              </w:rPr>
            </w:pPr>
            <w:r>
              <w:rPr>
                <w:i/>
                <w:iCs/>
              </w:rPr>
              <w:t>$2,609</w:t>
            </w:r>
          </w:p>
        </w:tc>
      </w:tr>
      <w:tr w:rsidR="00762925" w:rsidRPr="00DB45EC" w14:paraId="1E55021B" w14:textId="77777777" w:rsidTr="003B72B7">
        <w:tc>
          <w:tcPr>
            <w:tcW w:w="4191" w:type="dxa"/>
          </w:tcPr>
          <w:p w14:paraId="413C84E6" w14:textId="77777777" w:rsidR="00762925" w:rsidRPr="0044448D" w:rsidRDefault="00762925" w:rsidP="001315CE">
            <w:pPr>
              <w:pStyle w:val="TableText"/>
            </w:pPr>
            <w:r w:rsidRPr="00841252">
              <w:t>Patients receiving a result that altered their diagnosis or prognosis</w:t>
            </w:r>
          </w:p>
        </w:tc>
        <w:tc>
          <w:tcPr>
            <w:tcW w:w="1206" w:type="dxa"/>
          </w:tcPr>
          <w:p w14:paraId="49C337FB" w14:textId="77777777" w:rsidR="00762925" w:rsidRPr="0044448D" w:rsidRDefault="00762925" w:rsidP="001315CE">
            <w:pPr>
              <w:pStyle w:val="TableText"/>
              <w:jc w:val="center"/>
            </w:pPr>
            <w:r w:rsidRPr="0044448D">
              <w:t>0.296</w:t>
            </w:r>
          </w:p>
        </w:tc>
        <w:tc>
          <w:tcPr>
            <w:tcW w:w="1206" w:type="dxa"/>
          </w:tcPr>
          <w:p w14:paraId="61477C83" w14:textId="77777777" w:rsidR="00762925" w:rsidRPr="0044448D" w:rsidRDefault="00762925" w:rsidP="001315CE">
            <w:pPr>
              <w:pStyle w:val="TableText"/>
              <w:jc w:val="center"/>
            </w:pPr>
            <w:r w:rsidRPr="0044448D">
              <w:t>0.079</w:t>
            </w:r>
          </w:p>
        </w:tc>
        <w:tc>
          <w:tcPr>
            <w:tcW w:w="1206" w:type="dxa"/>
          </w:tcPr>
          <w:p w14:paraId="0E808FC0" w14:textId="77777777" w:rsidR="00762925" w:rsidRPr="0044448D" w:rsidRDefault="00762925" w:rsidP="001315CE">
            <w:pPr>
              <w:pStyle w:val="TableText"/>
              <w:jc w:val="center"/>
            </w:pPr>
            <w:r w:rsidRPr="0044448D">
              <w:t>0.217</w:t>
            </w:r>
          </w:p>
        </w:tc>
        <w:tc>
          <w:tcPr>
            <w:tcW w:w="1207" w:type="dxa"/>
          </w:tcPr>
          <w:p w14:paraId="75176A46" w14:textId="1EFBB815" w:rsidR="00762925" w:rsidRPr="0044448D" w:rsidRDefault="00762925" w:rsidP="001315CE">
            <w:pPr>
              <w:pStyle w:val="TableText"/>
              <w:jc w:val="center"/>
            </w:pPr>
            <w:r w:rsidRPr="0044448D">
              <w:t>$</w:t>
            </w:r>
            <w:r>
              <w:t>2,</w:t>
            </w:r>
            <w:r w:rsidR="00300F47">
              <w:t>52</w:t>
            </w:r>
            <w:r w:rsidR="00656F43">
              <w:t>7</w:t>
            </w:r>
          </w:p>
        </w:tc>
      </w:tr>
      <w:tr w:rsidR="00762925" w:rsidRPr="00DB45EC" w14:paraId="7A1C8072" w14:textId="77777777" w:rsidTr="003B72B7">
        <w:tc>
          <w:tcPr>
            <w:tcW w:w="4191" w:type="dxa"/>
          </w:tcPr>
          <w:p w14:paraId="3E3E9742" w14:textId="77777777" w:rsidR="00762925" w:rsidRPr="0044448D" w:rsidRDefault="00762925" w:rsidP="001315CE">
            <w:pPr>
              <w:pStyle w:val="TableText"/>
            </w:pPr>
            <w:r w:rsidRPr="00841252">
              <w:t>Patients receiving a result that altered or refined their diagnosis or altered their prognosis</w:t>
            </w:r>
          </w:p>
        </w:tc>
        <w:tc>
          <w:tcPr>
            <w:tcW w:w="1206" w:type="dxa"/>
          </w:tcPr>
          <w:p w14:paraId="023D8377" w14:textId="77777777" w:rsidR="00762925" w:rsidRPr="0044448D" w:rsidRDefault="00762925" w:rsidP="001315CE">
            <w:pPr>
              <w:pStyle w:val="TableText"/>
              <w:jc w:val="center"/>
            </w:pPr>
            <w:r w:rsidRPr="0044448D">
              <w:t>0.408</w:t>
            </w:r>
          </w:p>
        </w:tc>
        <w:tc>
          <w:tcPr>
            <w:tcW w:w="1206" w:type="dxa"/>
          </w:tcPr>
          <w:p w14:paraId="0CE92075" w14:textId="77777777" w:rsidR="00762925" w:rsidRPr="0044448D" w:rsidRDefault="00762925" w:rsidP="001315CE">
            <w:pPr>
              <w:pStyle w:val="TableText"/>
              <w:jc w:val="center"/>
            </w:pPr>
            <w:r w:rsidRPr="0044448D">
              <w:t>0.132</w:t>
            </w:r>
          </w:p>
        </w:tc>
        <w:tc>
          <w:tcPr>
            <w:tcW w:w="1206" w:type="dxa"/>
          </w:tcPr>
          <w:p w14:paraId="668EF322" w14:textId="77777777" w:rsidR="00762925" w:rsidRPr="0044448D" w:rsidRDefault="00762925" w:rsidP="001315CE">
            <w:pPr>
              <w:pStyle w:val="TableText"/>
              <w:jc w:val="center"/>
            </w:pPr>
            <w:r w:rsidRPr="0044448D">
              <w:t>0.276</w:t>
            </w:r>
          </w:p>
        </w:tc>
        <w:tc>
          <w:tcPr>
            <w:tcW w:w="1207" w:type="dxa"/>
          </w:tcPr>
          <w:p w14:paraId="15124CE4" w14:textId="39D1B800" w:rsidR="00762925" w:rsidRPr="0044448D" w:rsidRDefault="00762925" w:rsidP="001315CE">
            <w:pPr>
              <w:pStyle w:val="TableText"/>
              <w:jc w:val="center"/>
            </w:pPr>
            <w:r w:rsidRPr="0044448D">
              <w:t>$1</w:t>
            </w:r>
            <w:r>
              <w:t>,</w:t>
            </w:r>
            <w:r w:rsidR="00300F47">
              <w:t>97</w:t>
            </w:r>
            <w:r w:rsidR="00656F43">
              <w:t>9</w:t>
            </w:r>
          </w:p>
        </w:tc>
      </w:tr>
      <w:tr w:rsidR="00762925" w:rsidRPr="00DB45EC" w14:paraId="5B28C666" w14:textId="77777777" w:rsidTr="003B72B7">
        <w:tc>
          <w:tcPr>
            <w:tcW w:w="4191" w:type="dxa"/>
          </w:tcPr>
          <w:p w14:paraId="32788967" w14:textId="3D8C9E95" w:rsidR="00762925" w:rsidRPr="0044448D" w:rsidRDefault="00762925" w:rsidP="001315CE">
            <w:pPr>
              <w:pStyle w:val="TableText"/>
            </w:pPr>
            <w:r w:rsidRPr="00841252">
              <w:t xml:space="preserve">Patient receiving a result that altered or refined their diagnosis, altered their prognosis, or identified a potentially </w:t>
            </w:r>
            <w:r w:rsidR="00DD013A">
              <w:t>predictive</w:t>
            </w:r>
            <w:r w:rsidRPr="00841252">
              <w:t>* target</w:t>
            </w:r>
          </w:p>
        </w:tc>
        <w:tc>
          <w:tcPr>
            <w:tcW w:w="1206" w:type="dxa"/>
          </w:tcPr>
          <w:p w14:paraId="553C1526" w14:textId="77777777" w:rsidR="00762925" w:rsidRPr="0044448D" w:rsidRDefault="00762925" w:rsidP="001315CE">
            <w:pPr>
              <w:pStyle w:val="TableText"/>
              <w:jc w:val="center"/>
            </w:pPr>
            <w:r w:rsidRPr="0044448D">
              <w:t>0.563</w:t>
            </w:r>
          </w:p>
        </w:tc>
        <w:tc>
          <w:tcPr>
            <w:tcW w:w="1206" w:type="dxa"/>
          </w:tcPr>
          <w:p w14:paraId="7D043FBF" w14:textId="77777777" w:rsidR="00762925" w:rsidRPr="0044448D" w:rsidRDefault="00762925" w:rsidP="001315CE">
            <w:pPr>
              <w:pStyle w:val="TableText"/>
              <w:jc w:val="center"/>
            </w:pPr>
            <w:r w:rsidRPr="0044448D">
              <w:t>0.132</w:t>
            </w:r>
          </w:p>
        </w:tc>
        <w:tc>
          <w:tcPr>
            <w:tcW w:w="1206" w:type="dxa"/>
          </w:tcPr>
          <w:p w14:paraId="270E86A3" w14:textId="77777777" w:rsidR="00762925" w:rsidRPr="0044448D" w:rsidRDefault="00762925" w:rsidP="001315CE">
            <w:pPr>
              <w:pStyle w:val="TableText"/>
              <w:jc w:val="center"/>
            </w:pPr>
            <w:r w:rsidRPr="0044448D">
              <w:t>0.431</w:t>
            </w:r>
          </w:p>
        </w:tc>
        <w:tc>
          <w:tcPr>
            <w:tcW w:w="1207" w:type="dxa"/>
          </w:tcPr>
          <w:p w14:paraId="734FE59E" w14:textId="56AC9803" w:rsidR="00762925" w:rsidRPr="0044448D" w:rsidRDefault="00762925" w:rsidP="001315CE">
            <w:pPr>
              <w:pStyle w:val="TableText"/>
              <w:jc w:val="center"/>
            </w:pPr>
            <w:r w:rsidRPr="0044448D">
              <w:t>$</w:t>
            </w:r>
            <w:r>
              <w:t>1,</w:t>
            </w:r>
            <w:r w:rsidR="00300F47">
              <w:t>26</w:t>
            </w:r>
            <w:r w:rsidR="00656F43">
              <w:t>9</w:t>
            </w:r>
          </w:p>
        </w:tc>
      </w:tr>
      <w:tr w:rsidR="00762925" w:rsidRPr="00DB45EC" w14:paraId="5A817365" w14:textId="77777777" w:rsidTr="003B72B7">
        <w:tc>
          <w:tcPr>
            <w:tcW w:w="4191" w:type="dxa"/>
          </w:tcPr>
          <w:p w14:paraId="46501564" w14:textId="36509BC8" w:rsidR="00762925" w:rsidRPr="0044448D" w:rsidRDefault="00762925" w:rsidP="001315CE">
            <w:pPr>
              <w:pStyle w:val="TableText"/>
            </w:pPr>
            <w:r w:rsidRPr="00841252">
              <w:t xml:space="preserve">Patient receiving a result that altered diagnosis or prognosis, refined or confirmed diagnosis per WHO CNS5 (including removing uncertainties), or identified a potentially </w:t>
            </w:r>
            <w:r w:rsidR="00DD013A">
              <w:t>predictive</w:t>
            </w:r>
            <w:r w:rsidRPr="00841252">
              <w:t>* target</w:t>
            </w:r>
          </w:p>
        </w:tc>
        <w:tc>
          <w:tcPr>
            <w:tcW w:w="1206" w:type="dxa"/>
          </w:tcPr>
          <w:p w14:paraId="09516B1B" w14:textId="77777777" w:rsidR="00762925" w:rsidRPr="0044448D" w:rsidRDefault="00762925" w:rsidP="001315CE">
            <w:pPr>
              <w:pStyle w:val="TableText"/>
              <w:jc w:val="center"/>
            </w:pPr>
            <w:r w:rsidRPr="0044448D">
              <w:t>0.930</w:t>
            </w:r>
          </w:p>
        </w:tc>
        <w:tc>
          <w:tcPr>
            <w:tcW w:w="1206" w:type="dxa"/>
          </w:tcPr>
          <w:p w14:paraId="1386B31E" w14:textId="77777777" w:rsidR="00762925" w:rsidRPr="0044448D" w:rsidRDefault="00762925" w:rsidP="001315CE">
            <w:pPr>
              <w:pStyle w:val="TableText"/>
              <w:jc w:val="center"/>
            </w:pPr>
            <w:r w:rsidRPr="0044448D">
              <w:t>0.132</w:t>
            </w:r>
          </w:p>
        </w:tc>
        <w:tc>
          <w:tcPr>
            <w:tcW w:w="1206" w:type="dxa"/>
          </w:tcPr>
          <w:p w14:paraId="3192443D" w14:textId="77777777" w:rsidR="00762925" w:rsidRPr="0044448D" w:rsidRDefault="00762925" w:rsidP="001315CE">
            <w:pPr>
              <w:pStyle w:val="TableText"/>
              <w:jc w:val="center"/>
            </w:pPr>
            <w:r w:rsidRPr="0044448D">
              <w:t>0.798</w:t>
            </w:r>
          </w:p>
        </w:tc>
        <w:tc>
          <w:tcPr>
            <w:tcW w:w="1207" w:type="dxa"/>
          </w:tcPr>
          <w:p w14:paraId="5350B6CB" w14:textId="4D7528B0" w:rsidR="00762925" w:rsidRPr="0044448D" w:rsidRDefault="00762925" w:rsidP="001315CE">
            <w:pPr>
              <w:pStyle w:val="TableText"/>
              <w:jc w:val="center"/>
            </w:pPr>
            <w:r w:rsidRPr="0044448D">
              <w:t>$</w:t>
            </w:r>
            <w:r w:rsidR="00300F47">
              <w:t>68</w:t>
            </w:r>
            <w:r w:rsidR="00656F43">
              <w:t>7</w:t>
            </w:r>
          </w:p>
        </w:tc>
      </w:tr>
    </w:tbl>
    <w:p w14:paraId="6B5BB751" w14:textId="7754D469" w:rsidR="00300F47" w:rsidRDefault="00300F47" w:rsidP="003B72B7">
      <w:pPr>
        <w:pStyle w:val="TableFooter"/>
        <w:spacing w:after="0"/>
      </w:pPr>
      <w:bookmarkStart w:id="38" w:name="_Hlk97716241"/>
      <w:bookmarkEnd w:id="37"/>
      <w:r>
        <w:t>Source: Rejoinder Table 5A</w:t>
      </w:r>
      <w:r w:rsidR="00656F43">
        <w:t xml:space="preserve">, </w:t>
      </w:r>
      <w:r w:rsidR="00BD2275">
        <w:t xml:space="preserve">with </w:t>
      </w:r>
      <w:r w:rsidR="00656F43">
        <w:t>update</w:t>
      </w:r>
      <w:r w:rsidR="00BD2275">
        <w:t>s</w:t>
      </w:r>
      <w:r w:rsidR="00656F43">
        <w:t xml:space="preserve"> to correct rounding</w:t>
      </w:r>
      <w:r>
        <w:t>. Italics indicates additions by MSAC.</w:t>
      </w:r>
    </w:p>
    <w:p w14:paraId="3334C7E1" w14:textId="77777777" w:rsidR="00762925" w:rsidRDefault="00762925" w:rsidP="003B72B7">
      <w:pPr>
        <w:pStyle w:val="Tablenotes"/>
        <w:spacing w:before="0"/>
      </w:pPr>
      <w:r>
        <w:t>* defined as targets with potential treatments (approved or investigational)</w:t>
      </w:r>
    </w:p>
    <w:p w14:paraId="0AE4C295" w14:textId="38116473" w:rsidR="00762925" w:rsidRPr="00CE28E3" w:rsidRDefault="00762925" w:rsidP="00762925">
      <w:pPr>
        <w:pStyle w:val="Heading2"/>
        <w:numPr>
          <w:ilvl w:val="0"/>
          <w:numId w:val="0"/>
        </w:numPr>
      </w:pPr>
      <w:bookmarkStart w:id="39" w:name="_Toc97723475"/>
      <w:bookmarkEnd w:id="38"/>
      <w:r>
        <w:t>1</w:t>
      </w:r>
      <w:r w:rsidR="00BE1D5B">
        <w:t>4</w:t>
      </w:r>
      <w:r>
        <w:t>.</w:t>
      </w:r>
      <w:r>
        <w:tab/>
      </w:r>
      <w:r w:rsidRPr="00CE28E3">
        <w:t>Financial/budgetary impacts</w:t>
      </w:r>
      <w:bookmarkEnd w:id="39"/>
    </w:p>
    <w:p w14:paraId="05097851" w14:textId="77777777" w:rsidR="00762925" w:rsidRPr="00F14758" w:rsidRDefault="00762925" w:rsidP="00762925">
      <w:pPr>
        <w:pStyle w:val="Instructionaltext"/>
        <w:jc w:val="both"/>
        <w:rPr>
          <w:color w:val="000000" w:themeColor="text1"/>
        </w:rPr>
      </w:pPr>
      <w:r w:rsidRPr="001A7FDF">
        <w:rPr>
          <w:color w:val="000000" w:themeColor="text1"/>
        </w:rPr>
        <w:t>An epidemiological approach was taken to estimate the financial impact.</w:t>
      </w:r>
      <w:r>
        <w:rPr>
          <w:color w:val="000000" w:themeColor="text1"/>
        </w:rPr>
        <w:t xml:space="preserve"> Assumptions included inclusion in the MBS from 1 January 2023, all eligible patients accessing the Glioma Panel, a redu</w:t>
      </w:r>
      <w:r w:rsidRPr="00EC69B6">
        <w:rPr>
          <w:color w:val="000000" w:themeColor="text1"/>
        </w:rPr>
        <w:t>ction in usage of Item 73371 and discontinuation of Item 73372 from the time of listing. These cost estimates are likely to be overestimated, as it is not certain currently what proportion of patients diagnosed with a glioma proceed to a biopsy or resection or have additional genetic testing.</w:t>
      </w:r>
    </w:p>
    <w:p w14:paraId="234C7BE9" w14:textId="3A67B2C0" w:rsidR="00237848" w:rsidRPr="00237848" w:rsidRDefault="00762925" w:rsidP="00237848">
      <w:pPr>
        <w:pStyle w:val="Instructionaltext"/>
        <w:jc w:val="both"/>
        <w:rPr>
          <w:color w:val="000000" w:themeColor="text1"/>
        </w:rPr>
      </w:pPr>
      <w:r w:rsidRPr="00F14758">
        <w:rPr>
          <w:color w:val="000000" w:themeColor="text1"/>
        </w:rPr>
        <w:t xml:space="preserve">The financial implications to the MBS resulting from the proposed listing of a Glioma Panel test over the </w:t>
      </w:r>
      <w:r>
        <w:rPr>
          <w:color w:val="000000" w:themeColor="text1"/>
        </w:rPr>
        <w:t>6</w:t>
      </w:r>
      <w:r w:rsidRPr="00F14758">
        <w:rPr>
          <w:color w:val="000000" w:themeColor="text1"/>
        </w:rPr>
        <w:t xml:space="preserve"> years</w:t>
      </w:r>
      <w:r>
        <w:rPr>
          <w:color w:val="000000" w:themeColor="text1"/>
        </w:rPr>
        <w:t xml:space="preserve"> following listing</w:t>
      </w:r>
      <w:r w:rsidRPr="00F14758">
        <w:rPr>
          <w:color w:val="000000" w:themeColor="text1"/>
        </w:rPr>
        <w:t xml:space="preserve"> are summarised in</w:t>
      </w:r>
      <w:r w:rsidR="00202921">
        <w:rPr>
          <w:color w:val="000000" w:themeColor="text1"/>
        </w:rPr>
        <w:t xml:space="preserve"> Table 7</w:t>
      </w:r>
      <w:r w:rsidRPr="00F14758">
        <w:rPr>
          <w:color w:val="000000" w:themeColor="text1"/>
        </w:rPr>
        <w:t xml:space="preserve">. </w:t>
      </w:r>
      <w:r>
        <w:rPr>
          <w:color w:val="000000" w:themeColor="text1"/>
        </w:rPr>
        <w:t>Key assumptions are that all eligible patients will access testing, that Item 73372 will be removed at the time the Glioma Panel is listed, and utilisation of Item 73371 will decline to 10% of prior usage.</w:t>
      </w:r>
      <w:bookmarkStart w:id="40" w:name="_Ref69726382"/>
      <w:r w:rsidR="00237848">
        <w:br w:type="page"/>
      </w:r>
    </w:p>
    <w:p w14:paraId="1E847422" w14:textId="2B7FBF25" w:rsidR="00762925" w:rsidRPr="00CE28E3" w:rsidRDefault="00762925" w:rsidP="00762925">
      <w:pPr>
        <w:pStyle w:val="Caption"/>
      </w:pPr>
      <w:r w:rsidRPr="00CE28E3">
        <w:lastRenderedPageBreak/>
        <w:t>Table</w:t>
      </w:r>
      <w:r>
        <w:t> </w:t>
      </w:r>
      <w:fldSimple w:instr=" SEQ Table \* ARABIC ">
        <w:r w:rsidR="00C00851">
          <w:rPr>
            <w:noProof/>
          </w:rPr>
          <w:t>7</w:t>
        </w:r>
      </w:fldSimple>
      <w:bookmarkEnd w:id="40"/>
      <w:r w:rsidRPr="00CE28E3">
        <w:tab/>
        <w:t xml:space="preserve">Net financial implications of </w:t>
      </w:r>
      <w:r>
        <w:t>a Glioma Panel</w:t>
      </w:r>
      <w:r w:rsidRPr="00CE28E3">
        <w:t xml:space="preserve"> to the </w:t>
      </w:r>
      <w:r>
        <w:t>MBS</w:t>
      </w:r>
    </w:p>
    <w:tbl>
      <w:tblPr>
        <w:tblStyle w:val="TableGrid1"/>
        <w:tblW w:w="5000" w:type="pct"/>
        <w:tblLook w:val="04A0" w:firstRow="1" w:lastRow="0" w:firstColumn="1" w:lastColumn="0" w:noHBand="0" w:noVBand="1"/>
        <w:tblDescription w:val="Net financial implications of a Glioma Panel to the MBS"/>
      </w:tblPr>
      <w:tblGrid>
        <w:gridCol w:w="1442"/>
        <w:gridCol w:w="627"/>
        <w:gridCol w:w="1157"/>
        <w:gridCol w:w="1158"/>
        <w:gridCol w:w="1158"/>
        <w:gridCol w:w="1158"/>
        <w:gridCol w:w="1158"/>
        <w:gridCol w:w="1158"/>
      </w:tblGrid>
      <w:tr w:rsidR="00A4258F" w:rsidRPr="00656F43" w14:paraId="3B399D80" w14:textId="77777777" w:rsidTr="003C4B1E">
        <w:trPr>
          <w:cnfStyle w:val="100000000000" w:firstRow="1" w:lastRow="0" w:firstColumn="0" w:lastColumn="0" w:oddVBand="0" w:evenVBand="0" w:oddHBand="0" w:evenHBand="0" w:firstRowFirstColumn="0" w:firstRowLastColumn="0" w:lastRowFirstColumn="0" w:lastRowLastColumn="0"/>
          <w:trHeight w:val="330"/>
        </w:trPr>
        <w:tc>
          <w:tcPr>
            <w:tcW w:w="1508" w:type="dxa"/>
            <w:hideMark/>
          </w:tcPr>
          <w:p w14:paraId="6D380905" w14:textId="77777777" w:rsidR="00656F43" w:rsidRPr="00656F43" w:rsidRDefault="00656F43" w:rsidP="00656F43">
            <w:pPr>
              <w:rPr>
                <w:rFonts w:ascii="Arial Narrow" w:hAnsi="Arial Narrow" w:cs="Calibri"/>
                <w:b/>
                <w:bCs/>
                <w:color w:val="000000"/>
                <w:sz w:val="20"/>
                <w:szCs w:val="20"/>
                <w:lang w:eastAsia="en-AU"/>
              </w:rPr>
            </w:pPr>
            <w:bookmarkStart w:id="41" w:name="_Toc97723476"/>
            <w:r w:rsidRPr="00656F43">
              <w:rPr>
                <w:rFonts w:ascii="Arial Narrow" w:hAnsi="Arial Narrow" w:cs="Calibri"/>
                <w:b/>
                <w:bCs/>
                <w:color w:val="000000"/>
                <w:sz w:val="20"/>
                <w:szCs w:val="20"/>
                <w:lang w:eastAsia="en-AU"/>
              </w:rPr>
              <w:t xml:space="preserve">Parameter </w:t>
            </w:r>
          </w:p>
        </w:tc>
        <w:tc>
          <w:tcPr>
            <w:tcW w:w="249" w:type="dxa"/>
            <w:hideMark/>
          </w:tcPr>
          <w:p w14:paraId="19BEE720" w14:textId="77777777" w:rsidR="00656F43" w:rsidRPr="00656F43" w:rsidRDefault="00656F43" w:rsidP="00656F43">
            <w:pPr>
              <w:jc w:val="cente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2022</w:t>
            </w:r>
          </w:p>
        </w:tc>
        <w:tc>
          <w:tcPr>
            <w:tcW w:w="1209" w:type="dxa"/>
            <w:hideMark/>
          </w:tcPr>
          <w:p w14:paraId="4BB57617" w14:textId="77777777" w:rsidR="00656F43" w:rsidRPr="00656F43" w:rsidRDefault="00656F43" w:rsidP="00656F43">
            <w:pPr>
              <w:jc w:val="cente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2023</w:t>
            </w:r>
          </w:p>
        </w:tc>
        <w:tc>
          <w:tcPr>
            <w:tcW w:w="1210" w:type="dxa"/>
            <w:hideMark/>
          </w:tcPr>
          <w:p w14:paraId="0B80246E" w14:textId="77777777" w:rsidR="00656F43" w:rsidRPr="00656F43" w:rsidRDefault="00656F43" w:rsidP="00656F43">
            <w:pPr>
              <w:jc w:val="cente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2024</w:t>
            </w:r>
          </w:p>
        </w:tc>
        <w:tc>
          <w:tcPr>
            <w:tcW w:w="1210" w:type="dxa"/>
            <w:hideMark/>
          </w:tcPr>
          <w:p w14:paraId="4E023BCB" w14:textId="77777777" w:rsidR="00656F43" w:rsidRPr="00656F43" w:rsidRDefault="00656F43" w:rsidP="00656F43">
            <w:pPr>
              <w:jc w:val="cente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2025</w:t>
            </w:r>
          </w:p>
        </w:tc>
        <w:tc>
          <w:tcPr>
            <w:tcW w:w="1210" w:type="dxa"/>
            <w:hideMark/>
          </w:tcPr>
          <w:p w14:paraId="46BCBE8D" w14:textId="77777777" w:rsidR="00656F43" w:rsidRPr="00656F43" w:rsidRDefault="00656F43" w:rsidP="00656F43">
            <w:pPr>
              <w:jc w:val="cente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2026</w:t>
            </w:r>
          </w:p>
        </w:tc>
        <w:tc>
          <w:tcPr>
            <w:tcW w:w="1210" w:type="dxa"/>
            <w:hideMark/>
          </w:tcPr>
          <w:p w14:paraId="51E6FEF7" w14:textId="77777777" w:rsidR="00656F43" w:rsidRPr="00656F43" w:rsidRDefault="00656F43" w:rsidP="00656F43">
            <w:pPr>
              <w:jc w:val="cente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2027</w:t>
            </w:r>
          </w:p>
        </w:tc>
        <w:tc>
          <w:tcPr>
            <w:tcW w:w="1210" w:type="dxa"/>
            <w:hideMark/>
          </w:tcPr>
          <w:p w14:paraId="25D0181B" w14:textId="77777777" w:rsidR="00656F43" w:rsidRPr="00656F43" w:rsidRDefault="00656F43" w:rsidP="00656F43">
            <w:pPr>
              <w:jc w:val="cente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2028</w:t>
            </w:r>
          </w:p>
        </w:tc>
      </w:tr>
      <w:tr w:rsidR="00656F43" w:rsidRPr="00656F43" w14:paraId="5FC20E6D" w14:textId="77777777" w:rsidTr="00524FA7">
        <w:trPr>
          <w:trHeight w:val="345"/>
        </w:trPr>
        <w:tc>
          <w:tcPr>
            <w:tcW w:w="9016" w:type="dxa"/>
            <w:gridSpan w:val="8"/>
            <w:hideMark/>
          </w:tcPr>
          <w:p w14:paraId="2C5BFB3D" w14:textId="77777777" w:rsidR="00656F43" w:rsidRPr="00656F43" w:rsidRDefault="00656F43" w:rsidP="00656F43">
            <w:pP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Estimated use and cost of the proposed health technology</w:t>
            </w:r>
          </w:p>
        </w:tc>
      </w:tr>
      <w:tr w:rsidR="00A4258F" w:rsidRPr="00656F43" w14:paraId="49F1231E" w14:textId="77777777" w:rsidTr="003C4B1E">
        <w:trPr>
          <w:trHeight w:val="518"/>
        </w:trPr>
        <w:tc>
          <w:tcPr>
            <w:tcW w:w="1508" w:type="dxa"/>
            <w:hideMark/>
          </w:tcPr>
          <w:p w14:paraId="32B05F70" w14:textId="77777777" w:rsidR="00656F43" w:rsidRPr="00656F43" w:rsidRDefault="00656F43" w:rsidP="00656F43">
            <w:pP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Number of people eligible for Glioma Panel test</w:t>
            </w:r>
          </w:p>
        </w:tc>
        <w:tc>
          <w:tcPr>
            <w:tcW w:w="249" w:type="dxa"/>
            <w:hideMark/>
          </w:tcPr>
          <w:p w14:paraId="334A1E7C"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1,070</w:t>
            </w:r>
          </w:p>
        </w:tc>
        <w:tc>
          <w:tcPr>
            <w:tcW w:w="1209" w:type="dxa"/>
            <w:hideMark/>
          </w:tcPr>
          <w:p w14:paraId="3D8049DF"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1,081</w:t>
            </w:r>
          </w:p>
        </w:tc>
        <w:tc>
          <w:tcPr>
            <w:tcW w:w="1210" w:type="dxa"/>
            <w:hideMark/>
          </w:tcPr>
          <w:p w14:paraId="7D9ECD25"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1,092</w:t>
            </w:r>
          </w:p>
        </w:tc>
        <w:tc>
          <w:tcPr>
            <w:tcW w:w="1210" w:type="dxa"/>
            <w:hideMark/>
          </w:tcPr>
          <w:p w14:paraId="5030FC2D"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1,103</w:t>
            </w:r>
          </w:p>
        </w:tc>
        <w:tc>
          <w:tcPr>
            <w:tcW w:w="1210" w:type="dxa"/>
            <w:hideMark/>
          </w:tcPr>
          <w:p w14:paraId="02472E62"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1,114</w:t>
            </w:r>
          </w:p>
        </w:tc>
        <w:tc>
          <w:tcPr>
            <w:tcW w:w="1210" w:type="dxa"/>
            <w:hideMark/>
          </w:tcPr>
          <w:p w14:paraId="7FCB0584"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1,125</w:t>
            </w:r>
          </w:p>
        </w:tc>
        <w:tc>
          <w:tcPr>
            <w:tcW w:w="1210" w:type="dxa"/>
            <w:hideMark/>
          </w:tcPr>
          <w:p w14:paraId="2A9FA7B2"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1,136</w:t>
            </w:r>
          </w:p>
        </w:tc>
      </w:tr>
      <w:tr w:rsidR="00A4258F" w:rsidRPr="00656F43" w14:paraId="13B9BD77" w14:textId="77777777" w:rsidTr="003C4B1E">
        <w:trPr>
          <w:trHeight w:val="568"/>
        </w:trPr>
        <w:tc>
          <w:tcPr>
            <w:tcW w:w="1508" w:type="dxa"/>
            <w:hideMark/>
          </w:tcPr>
          <w:p w14:paraId="42DD0C5E" w14:textId="77777777" w:rsidR="00656F43" w:rsidRPr="00656F43" w:rsidRDefault="00656F43" w:rsidP="00656F43">
            <w:pP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Number of people who undergo Glioma Panel test</w:t>
            </w:r>
          </w:p>
        </w:tc>
        <w:tc>
          <w:tcPr>
            <w:tcW w:w="249" w:type="dxa"/>
            <w:hideMark/>
          </w:tcPr>
          <w:p w14:paraId="35303D27"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0</w:t>
            </w:r>
          </w:p>
        </w:tc>
        <w:tc>
          <w:tcPr>
            <w:tcW w:w="1209" w:type="dxa"/>
            <w:hideMark/>
          </w:tcPr>
          <w:p w14:paraId="16A6D431"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1,081</w:t>
            </w:r>
          </w:p>
        </w:tc>
        <w:tc>
          <w:tcPr>
            <w:tcW w:w="1210" w:type="dxa"/>
            <w:hideMark/>
          </w:tcPr>
          <w:p w14:paraId="1927192B"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1,092</w:t>
            </w:r>
          </w:p>
        </w:tc>
        <w:tc>
          <w:tcPr>
            <w:tcW w:w="1210" w:type="dxa"/>
            <w:hideMark/>
          </w:tcPr>
          <w:p w14:paraId="0BFD5766"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1,103</w:t>
            </w:r>
          </w:p>
        </w:tc>
        <w:tc>
          <w:tcPr>
            <w:tcW w:w="1210" w:type="dxa"/>
            <w:hideMark/>
          </w:tcPr>
          <w:p w14:paraId="110E9031"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1,114</w:t>
            </w:r>
          </w:p>
        </w:tc>
        <w:tc>
          <w:tcPr>
            <w:tcW w:w="1210" w:type="dxa"/>
            <w:hideMark/>
          </w:tcPr>
          <w:p w14:paraId="76BE5AC0"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1,125</w:t>
            </w:r>
          </w:p>
        </w:tc>
        <w:tc>
          <w:tcPr>
            <w:tcW w:w="1210" w:type="dxa"/>
            <w:hideMark/>
          </w:tcPr>
          <w:p w14:paraId="7FAC655E"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1,136</w:t>
            </w:r>
          </w:p>
        </w:tc>
      </w:tr>
      <w:tr w:rsidR="00A4258F" w:rsidRPr="00656F43" w14:paraId="579792AA" w14:textId="77777777" w:rsidTr="003C4B1E">
        <w:trPr>
          <w:trHeight w:val="782"/>
        </w:trPr>
        <w:tc>
          <w:tcPr>
            <w:tcW w:w="1508" w:type="dxa"/>
            <w:hideMark/>
          </w:tcPr>
          <w:p w14:paraId="57A62A83" w14:textId="77777777" w:rsidR="00656F43" w:rsidRPr="00656F43" w:rsidRDefault="00656F43" w:rsidP="00656F43">
            <w:pP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Number of services of Glioma Panel (if more than one per person)</w:t>
            </w:r>
          </w:p>
        </w:tc>
        <w:tc>
          <w:tcPr>
            <w:tcW w:w="249" w:type="dxa"/>
            <w:hideMark/>
          </w:tcPr>
          <w:p w14:paraId="1CB9CAD8"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w:t>
            </w:r>
          </w:p>
        </w:tc>
        <w:tc>
          <w:tcPr>
            <w:tcW w:w="1209" w:type="dxa"/>
            <w:hideMark/>
          </w:tcPr>
          <w:p w14:paraId="1EA77F7C"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w:t>
            </w:r>
          </w:p>
        </w:tc>
        <w:tc>
          <w:tcPr>
            <w:tcW w:w="1210" w:type="dxa"/>
            <w:hideMark/>
          </w:tcPr>
          <w:p w14:paraId="1AD288AC"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w:t>
            </w:r>
          </w:p>
        </w:tc>
        <w:tc>
          <w:tcPr>
            <w:tcW w:w="1210" w:type="dxa"/>
            <w:hideMark/>
          </w:tcPr>
          <w:p w14:paraId="19D1F30C"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w:t>
            </w:r>
          </w:p>
        </w:tc>
        <w:tc>
          <w:tcPr>
            <w:tcW w:w="1210" w:type="dxa"/>
            <w:hideMark/>
          </w:tcPr>
          <w:p w14:paraId="2665CE8E"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w:t>
            </w:r>
          </w:p>
        </w:tc>
        <w:tc>
          <w:tcPr>
            <w:tcW w:w="1210" w:type="dxa"/>
            <w:hideMark/>
          </w:tcPr>
          <w:p w14:paraId="2AB1E418"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w:t>
            </w:r>
          </w:p>
        </w:tc>
        <w:tc>
          <w:tcPr>
            <w:tcW w:w="1210" w:type="dxa"/>
            <w:hideMark/>
          </w:tcPr>
          <w:p w14:paraId="058843A4" w14:textId="77777777" w:rsidR="00656F43" w:rsidRPr="00656F43" w:rsidRDefault="00656F43" w:rsidP="00656F43">
            <w:pPr>
              <w:jc w:val="cente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w:t>
            </w:r>
          </w:p>
        </w:tc>
      </w:tr>
      <w:tr w:rsidR="00A4258F" w:rsidRPr="00656F43" w14:paraId="1CAC2968" w14:textId="77777777" w:rsidTr="003C4B1E">
        <w:trPr>
          <w:trHeight w:val="525"/>
        </w:trPr>
        <w:tc>
          <w:tcPr>
            <w:tcW w:w="1508" w:type="dxa"/>
            <w:hideMark/>
          </w:tcPr>
          <w:p w14:paraId="6CE2646A" w14:textId="77777777" w:rsidR="00656F43" w:rsidRPr="00656F43" w:rsidRDefault="00656F43" w:rsidP="00656F43">
            <w:pP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Cost to the MBS (85%=$800)</w:t>
            </w:r>
          </w:p>
        </w:tc>
        <w:tc>
          <w:tcPr>
            <w:tcW w:w="249" w:type="dxa"/>
            <w:hideMark/>
          </w:tcPr>
          <w:p w14:paraId="44331C7C"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$0 </w:t>
            </w:r>
          </w:p>
        </w:tc>
        <w:tc>
          <w:tcPr>
            <w:tcW w:w="1209" w:type="dxa"/>
            <w:hideMark/>
          </w:tcPr>
          <w:p w14:paraId="77D8A320"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$864,779 </w:t>
            </w:r>
          </w:p>
        </w:tc>
        <w:tc>
          <w:tcPr>
            <w:tcW w:w="1210" w:type="dxa"/>
            <w:hideMark/>
          </w:tcPr>
          <w:p w14:paraId="4CF6F9E9"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$873,427 </w:t>
            </w:r>
          </w:p>
        </w:tc>
        <w:tc>
          <w:tcPr>
            <w:tcW w:w="1210" w:type="dxa"/>
            <w:hideMark/>
          </w:tcPr>
          <w:p w14:paraId="39DE4014"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$882,161 </w:t>
            </w:r>
          </w:p>
        </w:tc>
        <w:tc>
          <w:tcPr>
            <w:tcW w:w="1210" w:type="dxa"/>
            <w:hideMark/>
          </w:tcPr>
          <w:p w14:paraId="1E4D1057"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$890,983 </w:t>
            </w:r>
          </w:p>
        </w:tc>
        <w:tc>
          <w:tcPr>
            <w:tcW w:w="1210" w:type="dxa"/>
            <w:hideMark/>
          </w:tcPr>
          <w:p w14:paraId="0D78A19D"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$899,893 </w:t>
            </w:r>
          </w:p>
        </w:tc>
        <w:tc>
          <w:tcPr>
            <w:tcW w:w="1210" w:type="dxa"/>
            <w:hideMark/>
          </w:tcPr>
          <w:p w14:paraId="67DCCCDD"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$908,892 </w:t>
            </w:r>
          </w:p>
        </w:tc>
      </w:tr>
      <w:tr w:rsidR="00656F43" w:rsidRPr="00656F43" w14:paraId="5DC972F2" w14:textId="77777777" w:rsidTr="00524FA7">
        <w:trPr>
          <w:trHeight w:val="345"/>
        </w:trPr>
        <w:tc>
          <w:tcPr>
            <w:tcW w:w="9016" w:type="dxa"/>
            <w:gridSpan w:val="8"/>
            <w:hideMark/>
          </w:tcPr>
          <w:p w14:paraId="13BD3C92" w14:textId="77777777" w:rsidR="00656F43" w:rsidRPr="00656F43" w:rsidRDefault="00656F43" w:rsidP="00656F43">
            <w:pP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Change in use and cost of other health technologies</w:t>
            </w:r>
          </w:p>
        </w:tc>
      </w:tr>
      <w:tr w:rsidR="00A4258F" w:rsidRPr="00656F43" w14:paraId="6CA35214" w14:textId="77777777" w:rsidTr="003C4B1E">
        <w:trPr>
          <w:trHeight w:val="525"/>
        </w:trPr>
        <w:tc>
          <w:tcPr>
            <w:tcW w:w="1508" w:type="dxa"/>
            <w:hideMark/>
          </w:tcPr>
          <w:p w14:paraId="144B99D0" w14:textId="77777777" w:rsidR="00656F43" w:rsidRPr="00656F43" w:rsidRDefault="00656F43" w:rsidP="00656F43">
            <w:pP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Change in use of Item 73372</w:t>
            </w:r>
          </w:p>
        </w:tc>
        <w:tc>
          <w:tcPr>
            <w:tcW w:w="249" w:type="dxa"/>
            <w:hideMark/>
          </w:tcPr>
          <w:p w14:paraId="3358899E" w14:textId="61ACF60D"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98361F" w:rsidRPr="003C4B1E">
              <w:rPr>
                <w:rFonts w:ascii="Arial Narrow" w:hAnsi="Arial Narrow" w:cs="Calibri"/>
                <w:i/>
                <w:iCs/>
                <w:color w:val="000000"/>
                <w:sz w:val="20"/>
                <w:szCs w:val="20"/>
                <w:lang w:eastAsia="en-AU"/>
              </w:rPr>
              <w:t>0</w:t>
            </w:r>
          </w:p>
        </w:tc>
        <w:tc>
          <w:tcPr>
            <w:tcW w:w="1209" w:type="dxa"/>
            <w:hideMark/>
          </w:tcPr>
          <w:p w14:paraId="66A4500F"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-$59,837</w:t>
            </w:r>
          </w:p>
        </w:tc>
        <w:tc>
          <w:tcPr>
            <w:tcW w:w="1210" w:type="dxa"/>
            <w:hideMark/>
          </w:tcPr>
          <w:p w14:paraId="48A02B3C"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-$60,436</w:t>
            </w:r>
          </w:p>
        </w:tc>
        <w:tc>
          <w:tcPr>
            <w:tcW w:w="1210" w:type="dxa"/>
            <w:hideMark/>
          </w:tcPr>
          <w:p w14:paraId="43A78A31"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-$61,040</w:t>
            </w:r>
          </w:p>
        </w:tc>
        <w:tc>
          <w:tcPr>
            <w:tcW w:w="1210" w:type="dxa"/>
            <w:hideMark/>
          </w:tcPr>
          <w:p w14:paraId="0D6D5B23"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-$61,651</w:t>
            </w:r>
          </w:p>
        </w:tc>
        <w:tc>
          <w:tcPr>
            <w:tcW w:w="1210" w:type="dxa"/>
            <w:hideMark/>
          </w:tcPr>
          <w:p w14:paraId="374DFF51"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-$62,267</w:t>
            </w:r>
          </w:p>
        </w:tc>
        <w:tc>
          <w:tcPr>
            <w:tcW w:w="1210" w:type="dxa"/>
            <w:hideMark/>
          </w:tcPr>
          <w:p w14:paraId="4648A9B5" w14:textId="77777777" w:rsidR="00656F43" w:rsidRPr="00656F43" w:rsidRDefault="00656F43" w:rsidP="00656F43">
            <w:pPr>
              <w:jc w:val="right"/>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-$62,890</w:t>
            </w:r>
          </w:p>
        </w:tc>
      </w:tr>
      <w:tr w:rsidR="00A4258F" w:rsidRPr="00656F43" w14:paraId="7B430E6C" w14:textId="77777777" w:rsidTr="003C4B1E">
        <w:trPr>
          <w:trHeight w:val="525"/>
        </w:trPr>
        <w:tc>
          <w:tcPr>
            <w:tcW w:w="1508" w:type="dxa"/>
            <w:hideMark/>
          </w:tcPr>
          <w:p w14:paraId="5090B47D" w14:textId="77777777" w:rsidR="00656F43" w:rsidRPr="00656F43" w:rsidRDefault="00656F43" w:rsidP="00656F43">
            <w:pP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Change in use of Item 73371</w:t>
            </w:r>
          </w:p>
        </w:tc>
        <w:tc>
          <w:tcPr>
            <w:tcW w:w="249" w:type="dxa"/>
            <w:hideMark/>
          </w:tcPr>
          <w:p w14:paraId="5A68F68D" w14:textId="43682B3C"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98361F" w:rsidRPr="003C4B1E">
              <w:rPr>
                <w:rFonts w:ascii="Arial Narrow" w:hAnsi="Arial Narrow" w:cs="Calibri"/>
                <w:i/>
                <w:iCs/>
                <w:color w:val="000000"/>
                <w:sz w:val="20"/>
                <w:szCs w:val="20"/>
                <w:lang w:eastAsia="en-AU"/>
              </w:rPr>
              <w:t>0</w:t>
            </w:r>
          </w:p>
        </w:tc>
        <w:tc>
          <w:tcPr>
            <w:tcW w:w="1209" w:type="dxa"/>
          </w:tcPr>
          <w:p w14:paraId="07C76295" w14:textId="0E4F86D3" w:rsidR="00656F43" w:rsidRPr="003C4B1E" w:rsidRDefault="0098361F"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-$35,819</w:t>
            </w:r>
          </w:p>
        </w:tc>
        <w:tc>
          <w:tcPr>
            <w:tcW w:w="1210" w:type="dxa"/>
          </w:tcPr>
          <w:p w14:paraId="071D9C10" w14:textId="1BF400F4" w:rsidR="00656F43" w:rsidRPr="003C4B1E" w:rsidRDefault="0098361F"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-$37,187</w:t>
            </w:r>
          </w:p>
        </w:tc>
        <w:tc>
          <w:tcPr>
            <w:tcW w:w="1210" w:type="dxa"/>
          </w:tcPr>
          <w:p w14:paraId="15F8D28E" w14:textId="7AD5623C" w:rsidR="00656F43" w:rsidRPr="003C4B1E" w:rsidRDefault="0098361F"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-$37,559</w:t>
            </w:r>
          </w:p>
        </w:tc>
        <w:tc>
          <w:tcPr>
            <w:tcW w:w="1210" w:type="dxa"/>
          </w:tcPr>
          <w:p w14:paraId="05B242AB" w14:textId="67269094" w:rsidR="00656F43" w:rsidRPr="003C4B1E" w:rsidRDefault="0098361F"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-$37,934</w:t>
            </w:r>
          </w:p>
        </w:tc>
        <w:tc>
          <w:tcPr>
            <w:tcW w:w="1210" w:type="dxa"/>
          </w:tcPr>
          <w:p w14:paraId="22B44CA0" w14:textId="4D857679" w:rsidR="00656F43" w:rsidRPr="003C4B1E" w:rsidRDefault="0098361F"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-$38,314</w:t>
            </w:r>
          </w:p>
        </w:tc>
        <w:tc>
          <w:tcPr>
            <w:tcW w:w="1210" w:type="dxa"/>
          </w:tcPr>
          <w:p w14:paraId="79EC59EF" w14:textId="141EF1B4" w:rsidR="00656F43" w:rsidRPr="003C4B1E" w:rsidRDefault="0098361F"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-$38,697</w:t>
            </w:r>
          </w:p>
        </w:tc>
      </w:tr>
      <w:tr w:rsidR="00A4258F" w:rsidRPr="00656F43" w14:paraId="14D2B7D3" w14:textId="77777777" w:rsidTr="003C4B1E">
        <w:trPr>
          <w:trHeight w:val="878"/>
        </w:trPr>
        <w:tc>
          <w:tcPr>
            <w:tcW w:w="1508" w:type="dxa"/>
            <w:hideMark/>
          </w:tcPr>
          <w:p w14:paraId="568D34F4" w14:textId="77777777" w:rsidR="00656F43" w:rsidRPr="00656F43" w:rsidRDefault="00656F43" w:rsidP="00656F43">
            <w:pPr>
              <w:rPr>
                <w:rFonts w:ascii="Arial Narrow" w:hAnsi="Arial Narrow" w:cs="Calibri"/>
                <w:color w:val="000000"/>
                <w:sz w:val="20"/>
                <w:szCs w:val="20"/>
                <w:lang w:eastAsia="en-AU"/>
              </w:rPr>
            </w:pPr>
            <w:r w:rsidRPr="00656F43">
              <w:rPr>
                <w:rFonts w:ascii="Arial Narrow" w:hAnsi="Arial Narrow" w:cs="Calibri"/>
                <w:color w:val="000000"/>
                <w:sz w:val="20"/>
                <w:szCs w:val="20"/>
                <w:lang w:eastAsia="en-AU"/>
              </w:rPr>
              <w:t xml:space="preserve">Net change in costs to the MBS (with appropriate </w:t>
            </w:r>
            <w:proofErr w:type="spellStart"/>
            <w:r w:rsidRPr="00656F43">
              <w:rPr>
                <w:rFonts w:ascii="Arial Narrow" w:hAnsi="Arial Narrow" w:cs="Calibri"/>
                <w:color w:val="000000"/>
                <w:sz w:val="20"/>
                <w:szCs w:val="20"/>
                <w:lang w:eastAsia="en-AU"/>
              </w:rPr>
              <w:t>copayments</w:t>
            </w:r>
            <w:proofErr w:type="spellEnd"/>
            <w:r w:rsidRPr="00656F43">
              <w:rPr>
                <w:rFonts w:ascii="Arial Narrow" w:hAnsi="Arial Narrow" w:cs="Calibri"/>
                <w:color w:val="000000"/>
                <w:sz w:val="20"/>
                <w:szCs w:val="20"/>
                <w:lang w:eastAsia="en-AU"/>
              </w:rPr>
              <w:t xml:space="preserve"> excluded)</w:t>
            </w:r>
          </w:p>
        </w:tc>
        <w:tc>
          <w:tcPr>
            <w:tcW w:w="249" w:type="dxa"/>
            <w:hideMark/>
          </w:tcPr>
          <w:p w14:paraId="023547E4" w14:textId="022B2F88"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98361F" w:rsidRPr="003C4B1E">
              <w:rPr>
                <w:rFonts w:ascii="Arial Narrow" w:hAnsi="Arial Narrow" w:cs="Calibri"/>
                <w:i/>
                <w:iCs/>
                <w:color w:val="000000"/>
                <w:sz w:val="20"/>
                <w:szCs w:val="20"/>
                <w:lang w:eastAsia="en-AU"/>
              </w:rPr>
              <w:t>0</w:t>
            </w:r>
          </w:p>
        </w:tc>
        <w:tc>
          <w:tcPr>
            <w:tcW w:w="1209" w:type="dxa"/>
            <w:hideMark/>
          </w:tcPr>
          <w:p w14:paraId="5113A1BC" w14:textId="4DCB1D2B"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96,656</w:t>
            </w:r>
          </w:p>
        </w:tc>
        <w:tc>
          <w:tcPr>
            <w:tcW w:w="1210" w:type="dxa"/>
            <w:hideMark/>
          </w:tcPr>
          <w:p w14:paraId="79309412" w14:textId="042ACD46"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97,623</w:t>
            </w:r>
          </w:p>
        </w:tc>
        <w:tc>
          <w:tcPr>
            <w:tcW w:w="1210" w:type="dxa"/>
            <w:hideMark/>
          </w:tcPr>
          <w:p w14:paraId="57AD6129" w14:textId="7911A7F4"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98,599</w:t>
            </w:r>
          </w:p>
        </w:tc>
        <w:tc>
          <w:tcPr>
            <w:tcW w:w="1210" w:type="dxa"/>
            <w:hideMark/>
          </w:tcPr>
          <w:p w14:paraId="31754E04" w14:textId="35653E51"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99,585</w:t>
            </w:r>
          </w:p>
        </w:tc>
        <w:tc>
          <w:tcPr>
            <w:tcW w:w="1210" w:type="dxa"/>
            <w:hideMark/>
          </w:tcPr>
          <w:p w14:paraId="7C3ECD69" w14:textId="08147AE0"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100,581</w:t>
            </w:r>
          </w:p>
        </w:tc>
        <w:tc>
          <w:tcPr>
            <w:tcW w:w="1210" w:type="dxa"/>
            <w:hideMark/>
          </w:tcPr>
          <w:p w14:paraId="105B2CCF" w14:textId="14BAA7DD"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101,586</w:t>
            </w:r>
          </w:p>
        </w:tc>
      </w:tr>
      <w:tr w:rsidR="00A4258F" w:rsidRPr="00656F43" w14:paraId="28DC4003" w14:textId="77777777" w:rsidTr="003C4B1E">
        <w:trPr>
          <w:trHeight w:val="511"/>
        </w:trPr>
        <w:tc>
          <w:tcPr>
            <w:tcW w:w="1508" w:type="dxa"/>
            <w:hideMark/>
          </w:tcPr>
          <w:p w14:paraId="72E2DD16" w14:textId="77777777" w:rsidR="00656F43" w:rsidRPr="00656F43" w:rsidRDefault="00656F43" w:rsidP="00656F43">
            <w:pPr>
              <w:rPr>
                <w:rFonts w:ascii="Arial Narrow" w:hAnsi="Arial Narrow" w:cs="Calibri"/>
                <w:b/>
                <w:bCs/>
                <w:color w:val="000000"/>
                <w:sz w:val="20"/>
                <w:szCs w:val="20"/>
                <w:lang w:eastAsia="en-AU"/>
              </w:rPr>
            </w:pPr>
            <w:r w:rsidRPr="00656F43">
              <w:rPr>
                <w:rFonts w:ascii="Arial Narrow" w:hAnsi="Arial Narrow" w:cs="Calibri"/>
                <w:b/>
                <w:bCs/>
                <w:color w:val="000000"/>
                <w:sz w:val="20"/>
                <w:szCs w:val="20"/>
                <w:lang w:eastAsia="en-AU"/>
              </w:rPr>
              <w:t>Net financial impact to the MBS</w:t>
            </w:r>
          </w:p>
        </w:tc>
        <w:tc>
          <w:tcPr>
            <w:tcW w:w="249" w:type="dxa"/>
            <w:hideMark/>
          </w:tcPr>
          <w:p w14:paraId="0448811E" w14:textId="57C67D82"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98361F" w:rsidRPr="003C4B1E">
              <w:rPr>
                <w:rFonts w:ascii="Arial Narrow" w:hAnsi="Arial Narrow" w:cs="Calibri"/>
                <w:i/>
                <w:iCs/>
                <w:color w:val="000000"/>
                <w:sz w:val="20"/>
                <w:szCs w:val="20"/>
                <w:lang w:eastAsia="en-AU"/>
              </w:rPr>
              <w:t>0</w:t>
            </w:r>
          </w:p>
        </w:tc>
        <w:tc>
          <w:tcPr>
            <w:tcW w:w="1209" w:type="dxa"/>
            <w:hideMark/>
          </w:tcPr>
          <w:p w14:paraId="6C8E1391" w14:textId="74C9D537"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768,123</w:t>
            </w:r>
          </w:p>
        </w:tc>
        <w:tc>
          <w:tcPr>
            <w:tcW w:w="1210" w:type="dxa"/>
            <w:hideMark/>
          </w:tcPr>
          <w:p w14:paraId="2191A04F" w14:textId="7E059BE2"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775,804</w:t>
            </w:r>
          </w:p>
        </w:tc>
        <w:tc>
          <w:tcPr>
            <w:tcW w:w="1210" w:type="dxa"/>
            <w:hideMark/>
          </w:tcPr>
          <w:p w14:paraId="6ABFA946" w14:textId="383A2583"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783,562</w:t>
            </w:r>
          </w:p>
        </w:tc>
        <w:tc>
          <w:tcPr>
            <w:tcW w:w="1210" w:type="dxa"/>
            <w:hideMark/>
          </w:tcPr>
          <w:p w14:paraId="55CDD392" w14:textId="29BDE889"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791,398</w:t>
            </w:r>
          </w:p>
        </w:tc>
        <w:tc>
          <w:tcPr>
            <w:tcW w:w="1210" w:type="dxa"/>
            <w:hideMark/>
          </w:tcPr>
          <w:p w14:paraId="543A6C84" w14:textId="758E905B"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799,312</w:t>
            </w:r>
          </w:p>
        </w:tc>
        <w:tc>
          <w:tcPr>
            <w:tcW w:w="1210" w:type="dxa"/>
            <w:hideMark/>
          </w:tcPr>
          <w:p w14:paraId="6061F40B" w14:textId="7944E2EC" w:rsidR="00656F43" w:rsidRPr="003C4B1E" w:rsidRDefault="00656F43" w:rsidP="00656F43">
            <w:pPr>
              <w:jc w:val="right"/>
              <w:rPr>
                <w:rFonts w:ascii="Arial Narrow" w:hAnsi="Arial Narrow" w:cs="Calibri"/>
                <w:i/>
                <w:iCs/>
                <w:color w:val="000000"/>
                <w:sz w:val="20"/>
                <w:szCs w:val="20"/>
                <w:lang w:eastAsia="en-AU"/>
              </w:rPr>
            </w:pPr>
            <w:r w:rsidRPr="003C4B1E">
              <w:rPr>
                <w:rFonts w:ascii="Arial Narrow" w:hAnsi="Arial Narrow" w:cs="Calibri"/>
                <w:i/>
                <w:iCs/>
                <w:color w:val="000000"/>
                <w:sz w:val="20"/>
                <w:szCs w:val="20"/>
                <w:lang w:eastAsia="en-AU"/>
              </w:rPr>
              <w:t>$</w:t>
            </w:r>
            <w:r w:rsidR="00A4258F" w:rsidRPr="003C4B1E">
              <w:rPr>
                <w:rFonts w:ascii="Arial Narrow" w:hAnsi="Arial Narrow" w:cs="Calibri"/>
                <w:i/>
                <w:iCs/>
                <w:color w:val="000000"/>
                <w:sz w:val="20"/>
                <w:szCs w:val="20"/>
                <w:lang w:eastAsia="en-AU"/>
              </w:rPr>
              <w:t>807,305</w:t>
            </w:r>
          </w:p>
        </w:tc>
      </w:tr>
    </w:tbl>
    <w:p w14:paraId="5EE86B6F" w14:textId="342B61F3" w:rsidR="00A22471" w:rsidRDefault="00300F47" w:rsidP="00300F47">
      <w:pPr>
        <w:pStyle w:val="TableFooter"/>
      </w:pPr>
      <w:r>
        <w:t xml:space="preserve">Source: Rejoinder Table 6A, </w:t>
      </w:r>
      <w:r w:rsidR="00BD2275">
        <w:t>with updates</w:t>
      </w:r>
      <w:r>
        <w:t xml:space="preserve"> to correct rounding</w:t>
      </w:r>
      <w:r w:rsidR="0098361F">
        <w:t>, and Department edits in italics to correct change</w:t>
      </w:r>
      <w:r w:rsidR="00A4258F">
        <w:t>s</w:t>
      </w:r>
      <w:r w:rsidR="0098361F">
        <w:t xml:space="preserve"> in use of 73371</w:t>
      </w:r>
      <w:r w:rsidR="00A4258F">
        <w:t xml:space="preserve"> and 73372</w:t>
      </w:r>
      <w:r>
        <w:t>.</w:t>
      </w:r>
    </w:p>
    <w:p w14:paraId="33404ABB" w14:textId="3F5C6C5C" w:rsidR="00762925" w:rsidRDefault="00762925" w:rsidP="00762925">
      <w:pPr>
        <w:pStyle w:val="Heading2"/>
        <w:numPr>
          <w:ilvl w:val="0"/>
          <w:numId w:val="0"/>
        </w:numPr>
      </w:pPr>
      <w:r>
        <w:t>1</w:t>
      </w:r>
      <w:r w:rsidR="00BE1D5B">
        <w:t>5</w:t>
      </w:r>
      <w:r>
        <w:t>.</w:t>
      </w:r>
      <w:r>
        <w:tab/>
      </w:r>
      <w:r w:rsidRPr="00CE28E3">
        <w:t xml:space="preserve">Other relevant </w:t>
      </w:r>
      <w:r>
        <w:t>information</w:t>
      </w:r>
      <w:bookmarkEnd w:id="41"/>
    </w:p>
    <w:p w14:paraId="447FC1B3" w14:textId="77777777" w:rsidR="00762925" w:rsidRPr="001A7FDF" w:rsidRDefault="00762925" w:rsidP="00762925">
      <w:pPr>
        <w:rPr>
          <w:rFonts w:ascii="Franklin Gothic Book" w:hAnsi="Franklin Gothic Book"/>
          <w:sz w:val="22"/>
          <w:szCs w:val="22"/>
          <w:lang w:eastAsia="en-US"/>
        </w:rPr>
      </w:pPr>
      <w:r w:rsidRPr="001A7FDF">
        <w:rPr>
          <w:rFonts w:ascii="Franklin Gothic Book" w:hAnsi="Franklin Gothic Book"/>
          <w:sz w:val="22"/>
          <w:szCs w:val="22"/>
          <w:lang w:eastAsia="en-US"/>
        </w:rPr>
        <w:t>Nil.</w:t>
      </w:r>
    </w:p>
    <w:p w14:paraId="5811D5F6" w14:textId="77777777" w:rsidR="00BE1D5B" w:rsidRDefault="00BE1D5B" w:rsidP="00BE1D5B">
      <w:pPr>
        <w:pStyle w:val="Heading2"/>
        <w:numPr>
          <w:ilvl w:val="0"/>
          <w:numId w:val="0"/>
        </w:numPr>
      </w:pPr>
      <w:r>
        <w:t>16.</w:t>
      </w:r>
      <w:r>
        <w:tab/>
        <w:t>Applicant comments on MSAC’s Public Summary Document</w:t>
      </w:r>
    </w:p>
    <w:p w14:paraId="7990256C" w14:textId="5177897E" w:rsidR="00C75EB5" w:rsidRPr="00C75EB5" w:rsidRDefault="00C75EB5" w:rsidP="00C75EB5">
      <w:pPr>
        <w:pStyle w:val="Instructionaltext"/>
        <w:jc w:val="both"/>
        <w:rPr>
          <w:color w:val="000000" w:themeColor="text1"/>
        </w:rPr>
      </w:pPr>
      <w:r>
        <w:rPr>
          <w:color w:val="000000" w:themeColor="text1"/>
        </w:rPr>
        <w:t>T</w:t>
      </w:r>
      <w:r w:rsidRPr="00C75EB5">
        <w:rPr>
          <w:color w:val="000000" w:themeColor="text1"/>
        </w:rPr>
        <w:t>he College and Fellows would like to express their delight in MSAC approving public funding for the genetic testing of glioma, and to thank the Department for its assistance throughout the long application and assessment process. Public funding for this testing will result in better patient outcomes and significantly reduce inequity in access to genetic testing in this group of patients.</w:t>
      </w:r>
    </w:p>
    <w:p w14:paraId="1A1F08F4" w14:textId="5B7A2FFF" w:rsidR="00BE1D5B" w:rsidRDefault="00BE1D5B" w:rsidP="00BE1D5B">
      <w:pPr>
        <w:pStyle w:val="Heading2"/>
        <w:numPr>
          <w:ilvl w:val="0"/>
          <w:numId w:val="0"/>
        </w:numPr>
      </w:pPr>
      <w:r>
        <w:t>17.</w:t>
      </w:r>
      <w:r>
        <w:tab/>
        <w:t>Further information on MSAC</w:t>
      </w:r>
    </w:p>
    <w:p w14:paraId="2605ED08" w14:textId="5208E676" w:rsidR="00762925" w:rsidRPr="00BE1D5B" w:rsidRDefault="00BE1D5B" w:rsidP="00BE1D5B">
      <w:pPr>
        <w:rPr>
          <w:rFonts w:ascii="Franklin Gothic Book" w:hAnsi="Franklin Gothic Book"/>
          <w:sz w:val="22"/>
          <w:szCs w:val="22"/>
          <w:lang w:eastAsia="en-US"/>
        </w:rPr>
      </w:pPr>
      <w:r w:rsidRPr="00BE1D5B">
        <w:rPr>
          <w:rFonts w:ascii="Franklin Gothic Book" w:hAnsi="Franklin Gothic Book"/>
          <w:sz w:val="22"/>
          <w:szCs w:val="22"/>
          <w:lang w:eastAsia="en-US"/>
        </w:rPr>
        <w:t xml:space="preserve">MSAC Terms of Reference and other information are available on the MSAC Website: </w:t>
      </w:r>
      <w:hyperlink r:id="rId11" w:tooltip="Link to the MSAC website" w:history="1">
        <w:r w:rsidRPr="00BE1D5B">
          <w:rPr>
            <w:rStyle w:val="Hyperlink"/>
            <w:rFonts w:ascii="Franklin Gothic Book" w:hAnsi="Franklin Gothic Book"/>
            <w:sz w:val="22"/>
            <w:szCs w:val="22"/>
            <w:lang w:eastAsia="en-US"/>
          </w:rPr>
          <w:t>visit the MSAC website</w:t>
        </w:r>
      </w:hyperlink>
    </w:p>
    <w:sectPr w:rsidR="00762925" w:rsidRPr="00BE1D5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70F31" w14:textId="77777777" w:rsidR="0098361F" w:rsidRDefault="0098361F" w:rsidP="00762925">
      <w:r>
        <w:separator/>
      </w:r>
    </w:p>
  </w:endnote>
  <w:endnote w:type="continuationSeparator" w:id="0">
    <w:p w14:paraId="3BDECDBE" w14:textId="77777777" w:rsidR="0098361F" w:rsidRDefault="0098361F" w:rsidP="00762925">
      <w:r>
        <w:continuationSeparator/>
      </w:r>
    </w:p>
  </w:endnote>
  <w:endnote w:type="continuationNotice" w:id="1">
    <w:p w14:paraId="0A5A74DA" w14:textId="77777777" w:rsidR="0098361F" w:rsidRDefault="0098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2EBD" w14:textId="77777777" w:rsidR="004A2560" w:rsidRDefault="004A2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5200886"/>
      <w:docPartObj>
        <w:docPartGallery w:val="Page Numbers (Bottom of Page)"/>
        <w:docPartUnique/>
      </w:docPartObj>
    </w:sdtPr>
    <w:sdtEndPr>
      <w:rPr>
        <w:noProof/>
      </w:rPr>
    </w:sdtEndPr>
    <w:sdtContent>
      <w:p w14:paraId="7EB4E4C4" w14:textId="65668C03" w:rsidR="0098361F" w:rsidRDefault="009836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2730E" w14:textId="5DF0ECAF" w:rsidR="0098361F" w:rsidRDefault="00983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6ED98" w14:textId="77777777" w:rsidR="004A2560" w:rsidRDefault="004A2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2ADDA" w14:textId="77777777" w:rsidR="0098361F" w:rsidRDefault="0098361F" w:rsidP="00762925">
      <w:r>
        <w:separator/>
      </w:r>
    </w:p>
  </w:footnote>
  <w:footnote w:type="continuationSeparator" w:id="0">
    <w:p w14:paraId="744F9AB2" w14:textId="77777777" w:rsidR="0098361F" w:rsidRDefault="0098361F" w:rsidP="00762925">
      <w:r>
        <w:continuationSeparator/>
      </w:r>
    </w:p>
  </w:footnote>
  <w:footnote w:type="continuationNotice" w:id="1">
    <w:p w14:paraId="599F18FA" w14:textId="77777777" w:rsidR="0098361F" w:rsidRDefault="0098361F"/>
  </w:footnote>
  <w:footnote w:id="2">
    <w:p w14:paraId="47835694" w14:textId="34794142" w:rsidR="0098361F" w:rsidRDefault="0098361F" w:rsidP="00AF7405">
      <w:pPr>
        <w:pStyle w:val="FootnoteText"/>
        <w:spacing w:before="0"/>
      </w:pPr>
      <w:r>
        <w:rPr>
          <w:rStyle w:val="FootnoteReference"/>
        </w:rPr>
        <w:footnoteRef/>
      </w:r>
      <w:r>
        <w:t xml:space="preserve"> Cheung VKY, Buckland ME, et al (2021). Next generation sequencing impacts the classification and management of primary brain tumours. </w:t>
      </w:r>
      <w:r w:rsidRPr="003B2CEC">
        <w:rPr>
          <w:i/>
          <w:iCs/>
        </w:rPr>
        <w:t>Pathology</w:t>
      </w:r>
      <w:r>
        <w:t xml:space="preserve">, </w:t>
      </w:r>
      <w:r w:rsidRPr="003B2CEC">
        <w:rPr>
          <w:b/>
          <w:bCs/>
        </w:rPr>
        <w:t>53</w:t>
      </w:r>
      <w:r w:rsidRPr="00980FC3">
        <w:t>(6):</w:t>
      </w:r>
      <w:r>
        <w:t xml:space="preserve"> </w:t>
      </w:r>
      <w:r w:rsidRPr="00980FC3">
        <w:t>780-782</w:t>
      </w:r>
      <w:r>
        <w:t>.</w:t>
      </w:r>
    </w:p>
  </w:footnote>
  <w:footnote w:id="3">
    <w:p w14:paraId="3E20AE73" w14:textId="7ACC8644" w:rsidR="0098361F" w:rsidRDefault="0098361F">
      <w:pPr>
        <w:pStyle w:val="FootnoteText"/>
      </w:pPr>
      <w:r>
        <w:rPr>
          <w:rStyle w:val="FootnoteReference"/>
        </w:rPr>
        <w:footnoteRef/>
      </w:r>
      <w:r>
        <w:t xml:space="preserve"> </w:t>
      </w:r>
      <w:r w:rsidRPr="00853440">
        <w:t>Zacher A</w:t>
      </w:r>
      <w:r>
        <w:t>, et al</w:t>
      </w:r>
      <w:r w:rsidRPr="00853440">
        <w:t xml:space="preserve">. (2017), Molecular Diagnostics of Gliomas Using Next Generation Sequencing of a Glioma-Tailored Gene Panel. </w:t>
      </w:r>
      <w:r w:rsidRPr="00853440">
        <w:rPr>
          <w:i/>
          <w:iCs/>
        </w:rPr>
        <w:t>Brain Pathology</w:t>
      </w:r>
      <w:r w:rsidRPr="00853440">
        <w:t xml:space="preserve">, </w:t>
      </w:r>
      <w:r w:rsidRPr="00853440">
        <w:rPr>
          <w:b/>
          <w:bCs/>
        </w:rPr>
        <w:t>27</w:t>
      </w:r>
      <w:r w:rsidRPr="00853440">
        <w:t>: 146-159.</w:t>
      </w:r>
    </w:p>
  </w:footnote>
  <w:footnote w:id="4">
    <w:p w14:paraId="64BAD027" w14:textId="041D9565" w:rsidR="0098361F" w:rsidRDefault="0098361F" w:rsidP="00660A7A">
      <w:pPr>
        <w:pStyle w:val="FootnoteText"/>
        <w:spacing w:before="0"/>
      </w:pPr>
      <w:r>
        <w:rPr>
          <w:rStyle w:val="FootnoteReference"/>
        </w:rPr>
        <w:footnoteRef/>
      </w:r>
      <w:hyperlink r:id="rId1" w:history="1">
        <w:r w:rsidRPr="001752AA">
          <w:rPr>
            <w:rStyle w:val="Hyperlink"/>
          </w:rPr>
          <w:t>https://www.abs.gov.au/ausstats/abs@.nsf/Lookup/by%20Subject/3303.0~2016~Main%20Features~Cancer%20deaths%20in%20younger%20Australians%20-%20changes%20over%2020%20years~10000</w:t>
        </w:r>
      </w:hyperlink>
      <w:r>
        <w:t xml:space="preserve"> accessed 12 February 2022.</w:t>
      </w:r>
    </w:p>
  </w:footnote>
  <w:footnote w:id="5">
    <w:p w14:paraId="6DD0611A" w14:textId="383C8095" w:rsidR="0098361F" w:rsidRDefault="0098361F" w:rsidP="00660A7A">
      <w:pPr>
        <w:pStyle w:val="FootnoteText"/>
        <w:spacing w:before="0"/>
      </w:pPr>
      <w:r>
        <w:rPr>
          <w:rStyle w:val="FootnoteReference"/>
        </w:rPr>
        <w:footnoteRef/>
      </w:r>
      <w:r>
        <w:t xml:space="preserve"> </w:t>
      </w:r>
      <w:hyperlink r:id="rId2" w:history="1">
        <w:r w:rsidRPr="00805865">
          <w:rPr>
            <w:rStyle w:val="Hyperlink"/>
          </w:rPr>
          <w:t>https://www.aihw.gov.au/reports/cancer/cancer-data-in-australia/contents/cancer-summary-data-visualisation</w:t>
        </w:r>
      </w:hyperlink>
      <w:r>
        <w:t xml:space="preserve"> accessed 11 February 2022.</w:t>
      </w:r>
    </w:p>
  </w:footnote>
  <w:footnote w:id="6">
    <w:p w14:paraId="6E2A02BA" w14:textId="717B7121" w:rsidR="0098361F" w:rsidRDefault="0098361F" w:rsidP="00660A7A">
      <w:pPr>
        <w:pStyle w:val="FootnoteText"/>
        <w:spacing w:before="0"/>
      </w:pPr>
      <w:r>
        <w:rPr>
          <w:rStyle w:val="FootnoteReference"/>
        </w:rPr>
        <w:footnoteRef/>
      </w:r>
      <w:r>
        <w:t xml:space="preserve"> </w:t>
      </w:r>
      <w:r w:rsidRPr="004028D0">
        <w:t xml:space="preserve">Ostrom QT, Cioffi G, </w:t>
      </w:r>
      <w:r w:rsidRPr="004028D0">
        <w:t xml:space="preserve">Gittleman H, </w:t>
      </w:r>
      <w:r>
        <w:t>et al. (2019)</w:t>
      </w:r>
      <w:r w:rsidRPr="004028D0">
        <w:t xml:space="preserve">. CBTRUS Statistical Report: Primary Brain and Other Central Nervous System Tumors Diagnosed in the United States in 2012-2016. </w:t>
      </w:r>
      <w:r w:rsidRPr="003B2CEC">
        <w:rPr>
          <w:i/>
          <w:iCs/>
        </w:rPr>
        <w:t>Neuro Oncol</w:t>
      </w:r>
      <w:r>
        <w:t>,</w:t>
      </w:r>
      <w:r w:rsidRPr="004028D0">
        <w:t xml:space="preserve"> </w:t>
      </w:r>
      <w:r w:rsidRPr="003B2CEC">
        <w:rPr>
          <w:b/>
          <w:bCs/>
        </w:rPr>
        <w:t>21</w:t>
      </w:r>
      <w:r w:rsidRPr="004028D0">
        <w:t>(Suppl 5</w:t>
      </w:r>
      <w:r w:rsidRPr="004028D0">
        <w:t>):v1-v100.</w:t>
      </w:r>
    </w:p>
  </w:footnote>
  <w:footnote w:id="7">
    <w:p w14:paraId="5CB78325" w14:textId="23A97D66" w:rsidR="0098361F" w:rsidRDefault="0098361F" w:rsidP="00660A7A">
      <w:pPr>
        <w:pStyle w:val="FootnoteText"/>
        <w:spacing w:before="0"/>
      </w:pPr>
      <w:r>
        <w:rPr>
          <w:rStyle w:val="FootnoteReference"/>
        </w:rPr>
        <w:footnoteRef/>
      </w:r>
      <w:r>
        <w:t xml:space="preserve"> </w:t>
      </w:r>
      <w:r w:rsidRPr="009D7459">
        <w:t>Park SH, Won J, Kim SI, et al.</w:t>
      </w:r>
      <w:r>
        <w:t xml:space="preserve"> (2017).</w:t>
      </w:r>
      <w:r w:rsidRPr="009D7459">
        <w:t xml:space="preserve"> Molecular Testing of Brain </w:t>
      </w:r>
      <w:r w:rsidRPr="009D7459">
        <w:t>Tumor. </w:t>
      </w:r>
      <w:r w:rsidRPr="009D7459">
        <w:rPr>
          <w:i/>
          <w:iCs/>
        </w:rPr>
        <w:t>J Pathol Transl Med</w:t>
      </w:r>
      <w:r>
        <w:t xml:space="preserve">, </w:t>
      </w:r>
      <w:r w:rsidRPr="003B2CEC">
        <w:rPr>
          <w:b/>
          <w:bCs/>
        </w:rPr>
        <w:t>51</w:t>
      </w:r>
      <w:r w:rsidRPr="009D7459">
        <w:t>(3):205-223.</w:t>
      </w:r>
    </w:p>
  </w:footnote>
  <w:footnote w:id="8">
    <w:p w14:paraId="072EF9BD" w14:textId="77777777" w:rsidR="0098361F" w:rsidRDefault="0098361F" w:rsidP="00660A7A">
      <w:pPr>
        <w:pStyle w:val="FootnoteText"/>
        <w:spacing w:before="0"/>
      </w:pPr>
      <w:r>
        <w:rPr>
          <w:rStyle w:val="FootnoteReference"/>
        </w:rPr>
        <w:footnoteRef/>
      </w:r>
      <w:r>
        <w:t xml:space="preserve"> </w:t>
      </w:r>
      <w:hyperlink r:id="rId3" w:anchor=":~:text=In%202009%E2%80%932013%2C%20Australians%20diagnosed,over%20the%20last%2030%20years" w:history="1">
        <w:r w:rsidRPr="00AA1292">
          <w:rPr>
            <w:rStyle w:val="Hyperlink"/>
          </w:rPr>
          <w:t>https://www.aihw.gov.au/getmedia/d2914a17-052e-45bb-bbd3-17047c7d5da1/20566.pdf.aspx?inline=true#:~:text=In%202009%E2%80%932013%2C%20Australians%20diagnosed,over%20the%20last%2030%20years</w:t>
        </w:r>
      </w:hyperlink>
      <w:r w:rsidRPr="00C56423">
        <w:t>.</w:t>
      </w:r>
      <w:r>
        <w:t xml:space="preserve"> accessed 17 February 2022.</w:t>
      </w:r>
    </w:p>
  </w:footnote>
  <w:footnote w:id="9">
    <w:p w14:paraId="302F6C3A" w14:textId="265E9537" w:rsidR="0098361F" w:rsidRPr="00660A7A" w:rsidRDefault="0098361F" w:rsidP="00660A7A">
      <w:pPr>
        <w:pStyle w:val="FootnoteText"/>
        <w:spacing w:before="0"/>
      </w:pPr>
      <w:r>
        <w:rPr>
          <w:rStyle w:val="FootnoteReference"/>
        </w:rPr>
        <w:footnoteRef/>
      </w:r>
      <w:r>
        <w:t xml:space="preserve"> </w:t>
      </w:r>
      <w:r w:rsidRPr="005B21BA">
        <w:t>Dobes M, Khurana VG, Shadbolt B, et al.</w:t>
      </w:r>
      <w:r>
        <w:t xml:space="preserve"> (2011).</w:t>
      </w:r>
      <w:r w:rsidRPr="005B21BA">
        <w:t xml:space="preserve"> Increasing incidence of glioblastoma multiforme and </w:t>
      </w:r>
      <w:r w:rsidRPr="005B21BA">
        <w:t xml:space="preserve">meningioma, and </w:t>
      </w:r>
      <w:r w:rsidRPr="00660A7A">
        <w:t>decreasing incidence of Schwannoma (2000-2008): Findings of a multicenter Australian study. </w:t>
      </w:r>
      <w:r w:rsidRPr="00660A7A">
        <w:rPr>
          <w:i/>
          <w:iCs/>
        </w:rPr>
        <w:t>Surg Neurol Int</w:t>
      </w:r>
      <w:r w:rsidRPr="00660A7A">
        <w:t xml:space="preserve">, </w:t>
      </w:r>
      <w:r w:rsidRPr="00660A7A">
        <w:rPr>
          <w:b/>
          <w:bCs/>
        </w:rPr>
        <w:t>2</w:t>
      </w:r>
      <w:r w:rsidRPr="00660A7A">
        <w:t xml:space="preserve">:176. </w:t>
      </w:r>
    </w:p>
  </w:footnote>
  <w:footnote w:id="10">
    <w:p w14:paraId="2657B920" w14:textId="32DA401B" w:rsidR="0098361F" w:rsidRPr="00660A7A" w:rsidRDefault="0098361F" w:rsidP="00660A7A">
      <w:pPr>
        <w:textAlignment w:val="baseline"/>
        <w:rPr>
          <w:rFonts w:asciiTheme="minorHAnsi" w:hAnsiTheme="minorHAnsi" w:cstheme="minorHAnsi"/>
          <w:sz w:val="18"/>
          <w:szCs w:val="18"/>
        </w:rPr>
      </w:pPr>
      <w:r w:rsidRPr="00660A7A">
        <w:rPr>
          <w:rStyle w:val="FootnoteReference"/>
          <w:rFonts w:asciiTheme="minorHAnsi" w:hAnsiTheme="minorHAnsi" w:cstheme="minorHAnsi"/>
          <w:sz w:val="20"/>
          <w:szCs w:val="20"/>
        </w:rPr>
        <w:footnoteRef/>
      </w:r>
      <w:r w:rsidRPr="00660A7A">
        <w:rPr>
          <w:rFonts w:asciiTheme="minorHAnsi" w:hAnsiTheme="minorHAnsi" w:cstheme="minorHAnsi"/>
          <w:sz w:val="20"/>
          <w:szCs w:val="20"/>
        </w:rPr>
        <w:t xml:space="preserve"> </w:t>
      </w:r>
      <w:r w:rsidRPr="00660A7A">
        <w:rPr>
          <w:rFonts w:asciiTheme="minorHAnsi" w:hAnsiTheme="minorHAnsi" w:cstheme="minorHAnsi"/>
          <w:sz w:val="18"/>
          <w:szCs w:val="18"/>
        </w:rPr>
        <w:t xml:space="preserve">WHO Classification of Tumours Editorial Board. </w:t>
      </w:r>
      <w:r w:rsidRPr="00660A7A">
        <w:rPr>
          <w:rFonts w:asciiTheme="minorHAnsi" w:hAnsiTheme="minorHAnsi" w:cstheme="minorHAnsi"/>
          <w:i/>
          <w:iCs/>
          <w:sz w:val="18"/>
          <w:szCs w:val="18"/>
        </w:rPr>
        <w:t>World Health Organization Classification of Tumours of the Central Nervous System</w:t>
      </w:r>
      <w:r w:rsidRPr="00660A7A">
        <w:rPr>
          <w:rFonts w:asciiTheme="minorHAnsi" w:hAnsiTheme="minorHAnsi" w:cstheme="minorHAnsi"/>
          <w:sz w:val="18"/>
          <w:szCs w:val="18"/>
          <w:shd w:val="clear" w:color="auto" w:fill="FFFFFF"/>
        </w:rPr>
        <w:t>. 5th ed. </w:t>
      </w:r>
      <w:r w:rsidRPr="00660A7A">
        <w:rPr>
          <w:rFonts w:asciiTheme="minorHAnsi" w:hAnsiTheme="minorHAnsi" w:cstheme="minorHAnsi"/>
          <w:sz w:val="18"/>
          <w:szCs w:val="18"/>
        </w:rPr>
        <w:t>Lyon</w:t>
      </w:r>
      <w:r w:rsidRPr="00660A7A">
        <w:rPr>
          <w:rFonts w:asciiTheme="minorHAnsi" w:hAnsiTheme="minorHAnsi" w:cstheme="minorHAnsi"/>
          <w:sz w:val="18"/>
          <w:szCs w:val="18"/>
          <w:shd w:val="clear" w:color="auto" w:fill="FFFFFF"/>
        </w:rPr>
        <w:t>: </w:t>
      </w:r>
      <w:r w:rsidRPr="00660A7A">
        <w:rPr>
          <w:rFonts w:asciiTheme="minorHAnsi" w:hAnsiTheme="minorHAnsi" w:cstheme="minorHAnsi"/>
          <w:sz w:val="18"/>
          <w:szCs w:val="18"/>
        </w:rPr>
        <w:t>International Agency for Research on Cancer</w:t>
      </w:r>
      <w:r w:rsidRPr="00660A7A">
        <w:rPr>
          <w:rFonts w:asciiTheme="minorHAnsi" w:hAnsiTheme="minorHAnsi" w:cstheme="minorHAnsi"/>
          <w:sz w:val="18"/>
          <w:szCs w:val="18"/>
          <w:shd w:val="clear" w:color="auto" w:fill="FFFFFF"/>
        </w:rPr>
        <w:t>; </w:t>
      </w:r>
      <w:r w:rsidRPr="00660A7A">
        <w:rPr>
          <w:rFonts w:asciiTheme="minorHAnsi" w:hAnsiTheme="minorHAnsi" w:cstheme="minorHAnsi"/>
          <w:sz w:val="18"/>
          <w:szCs w:val="18"/>
        </w:rPr>
        <w:t>2021</w:t>
      </w:r>
      <w:r w:rsidRPr="00660A7A">
        <w:rPr>
          <w:rFonts w:asciiTheme="minorHAnsi" w:hAnsiTheme="minorHAnsi" w:cstheme="minorHAnsi"/>
          <w:sz w:val="18"/>
          <w:szCs w:val="18"/>
          <w:shd w:val="clear" w:color="auto" w:fill="FFFFFF"/>
        </w:rPr>
        <w:t>.</w:t>
      </w:r>
    </w:p>
  </w:footnote>
  <w:footnote w:id="11">
    <w:p w14:paraId="3CE3D104" w14:textId="6F57E3A6" w:rsidR="0098361F" w:rsidRPr="00660A7A" w:rsidRDefault="0098361F" w:rsidP="00660A7A">
      <w:pPr>
        <w:pStyle w:val="FootnoteText"/>
        <w:spacing w:before="0"/>
      </w:pPr>
      <w:r w:rsidRPr="00660A7A">
        <w:rPr>
          <w:rStyle w:val="FootnoteReference"/>
        </w:rPr>
        <w:footnoteRef/>
      </w:r>
      <w:r w:rsidRPr="00660A7A">
        <w:t xml:space="preserve"> </w:t>
      </w:r>
      <w:r w:rsidRPr="00660A7A">
        <w:rPr>
          <w:rFonts w:eastAsia="Times New Roman" w:cstheme="minorHAnsi"/>
          <w:szCs w:val="18"/>
          <w:lang w:eastAsia="en-GB"/>
        </w:rPr>
        <w:t>Louis</w:t>
      </w:r>
      <w:r>
        <w:rPr>
          <w:rFonts w:eastAsia="Times New Roman" w:cstheme="minorHAnsi"/>
          <w:szCs w:val="18"/>
          <w:lang w:eastAsia="en-GB"/>
        </w:rPr>
        <w:t xml:space="preserve"> DN</w:t>
      </w:r>
      <w:r w:rsidRPr="00660A7A">
        <w:rPr>
          <w:rFonts w:eastAsia="Times New Roman" w:cstheme="minorHAnsi"/>
          <w:szCs w:val="18"/>
          <w:lang w:eastAsia="en-GB"/>
        </w:rPr>
        <w:t>, Perry</w:t>
      </w:r>
      <w:r>
        <w:rPr>
          <w:rFonts w:eastAsia="Times New Roman" w:cstheme="minorHAnsi"/>
          <w:szCs w:val="18"/>
          <w:lang w:eastAsia="en-GB"/>
        </w:rPr>
        <w:t xml:space="preserve"> A</w:t>
      </w:r>
      <w:r w:rsidRPr="00660A7A">
        <w:rPr>
          <w:rFonts w:eastAsia="Times New Roman" w:cstheme="minorHAnsi"/>
          <w:szCs w:val="18"/>
          <w:lang w:eastAsia="en-GB"/>
        </w:rPr>
        <w:t xml:space="preserve">, </w:t>
      </w:r>
      <w:r w:rsidRPr="00660A7A">
        <w:rPr>
          <w:rFonts w:eastAsia="Times New Roman" w:cstheme="minorHAnsi"/>
          <w:szCs w:val="18"/>
          <w:lang w:eastAsia="en-GB"/>
        </w:rPr>
        <w:t>Wesseling</w:t>
      </w:r>
      <w:r>
        <w:rPr>
          <w:rFonts w:eastAsia="Times New Roman" w:cstheme="minorHAnsi"/>
          <w:szCs w:val="18"/>
          <w:lang w:eastAsia="en-GB"/>
        </w:rPr>
        <w:t xml:space="preserve"> P</w:t>
      </w:r>
      <w:r w:rsidRPr="00660A7A">
        <w:rPr>
          <w:rFonts w:eastAsia="Times New Roman" w:cstheme="minorHAnsi"/>
          <w:szCs w:val="18"/>
          <w:lang w:eastAsia="en-GB"/>
        </w:rPr>
        <w:t xml:space="preserve">, </w:t>
      </w:r>
      <w:r>
        <w:rPr>
          <w:rFonts w:eastAsia="Times New Roman" w:cstheme="minorHAnsi"/>
          <w:szCs w:val="18"/>
          <w:lang w:eastAsia="en-GB"/>
        </w:rPr>
        <w:t>et al. (2021).</w:t>
      </w:r>
      <w:r w:rsidRPr="00660A7A">
        <w:rPr>
          <w:rFonts w:eastAsia="Times New Roman" w:cstheme="minorHAnsi"/>
          <w:szCs w:val="18"/>
          <w:lang w:eastAsia="en-GB"/>
        </w:rPr>
        <w:t xml:space="preserve"> The 2021 WHO Classification of Tumors of the Central Nervous System: a summary</w:t>
      </w:r>
      <w:r>
        <w:rPr>
          <w:rFonts w:eastAsia="Times New Roman" w:cstheme="minorHAnsi"/>
          <w:szCs w:val="18"/>
          <w:lang w:eastAsia="en-GB"/>
        </w:rPr>
        <w:t>.</w:t>
      </w:r>
      <w:r w:rsidRPr="00660A7A">
        <w:rPr>
          <w:rFonts w:eastAsia="Times New Roman" w:cstheme="minorHAnsi"/>
          <w:szCs w:val="18"/>
          <w:lang w:eastAsia="en-GB"/>
        </w:rPr>
        <w:t> </w:t>
      </w:r>
      <w:r w:rsidRPr="00660A7A">
        <w:rPr>
          <w:rFonts w:eastAsia="Times New Roman" w:cstheme="minorHAnsi"/>
          <w:i/>
          <w:iCs/>
          <w:szCs w:val="18"/>
          <w:lang w:eastAsia="en-GB"/>
        </w:rPr>
        <w:t>Neuro-Oncology</w:t>
      </w:r>
      <w:r w:rsidRPr="00660A7A">
        <w:rPr>
          <w:rFonts w:eastAsia="Times New Roman" w:cstheme="minorHAnsi"/>
          <w:szCs w:val="18"/>
          <w:lang w:eastAsia="en-GB"/>
        </w:rPr>
        <w:t xml:space="preserve">, </w:t>
      </w:r>
      <w:r w:rsidRPr="00660A7A">
        <w:rPr>
          <w:rFonts w:eastAsia="Times New Roman" w:cstheme="minorHAnsi"/>
          <w:b/>
          <w:bCs/>
          <w:szCs w:val="18"/>
          <w:lang w:eastAsia="en-GB"/>
        </w:rPr>
        <w:t>23</w:t>
      </w:r>
      <w:r>
        <w:rPr>
          <w:rFonts w:eastAsia="Times New Roman" w:cstheme="minorHAnsi"/>
          <w:szCs w:val="18"/>
          <w:lang w:eastAsia="en-GB"/>
        </w:rPr>
        <w:t>(</w:t>
      </w:r>
      <w:r w:rsidRPr="00660A7A">
        <w:rPr>
          <w:rFonts w:eastAsia="Times New Roman" w:cstheme="minorHAnsi"/>
          <w:szCs w:val="18"/>
          <w:lang w:eastAsia="en-GB"/>
        </w:rPr>
        <w:t>8</w:t>
      </w:r>
      <w:r>
        <w:rPr>
          <w:rFonts w:eastAsia="Times New Roman" w:cstheme="minorHAnsi"/>
          <w:szCs w:val="18"/>
          <w:lang w:eastAsia="en-GB"/>
        </w:rPr>
        <w:t xml:space="preserve">): </w:t>
      </w:r>
      <w:r w:rsidRPr="00660A7A">
        <w:rPr>
          <w:rFonts w:eastAsia="Times New Roman" w:cstheme="minorHAnsi"/>
          <w:szCs w:val="18"/>
          <w:lang w:eastAsia="en-GB"/>
        </w:rPr>
        <w:t>1231–1251</w:t>
      </w:r>
      <w:r>
        <w:rPr>
          <w:rFonts w:eastAsia="Times New Roman" w:cstheme="minorHAnsi"/>
          <w:szCs w:val="18"/>
          <w:lang w:eastAsia="en-GB"/>
        </w:rPr>
        <w:t>.</w:t>
      </w:r>
    </w:p>
  </w:footnote>
  <w:footnote w:id="12">
    <w:p w14:paraId="0E65C21E" w14:textId="3455350C" w:rsidR="0098361F" w:rsidRPr="00E6777C" w:rsidRDefault="0098361F" w:rsidP="00660A7A">
      <w:pPr>
        <w:pStyle w:val="FootnoteText"/>
        <w:spacing w:before="0"/>
        <w:rPr>
          <w:szCs w:val="18"/>
        </w:rPr>
      </w:pPr>
      <w:r w:rsidRPr="00E6777C">
        <w:rPr>
          <w:rStyle w:val="FootnoteReference"/>
          <w:szCs w:val="18"/>
        </w:rPr>
        <w:footnoteRef/>
      </w:r>
      <w:r w:rsidRPr="00E6777C">
        <w:rPr>
          <w:szCs w:val="18"/>
        </w:rPr>
        <w:t xml:space="preserve"> Behling F, </w:t>
      </w:r>
      <w:r w:rsidRPr="00E6777C">
        <w:rPr>
          <w:szCs w:val="18"/>
        </w:rPr>
        <w:t>Schittenhelm J</w:t>
      </w:r>
      <w:r>
        <w:rPr>
          <w:szCs w:val="18"/>
        </w:rPr>
        <w:t xml:space="preserve"> (2019)</w:t>
      </w:r>
      <w:r w:rsidRPr="00E6777C">
        <w:rPr>
          <w:szCs w:val="18"/>
        </w:rPr>
        <w:t xml:space="preserve">. Oncogenic </w:t>
      </w:r>
      <w:r w:rsidRPr="00660A7A">
        <w:rPr>
          <w:i/>
          <w:iCs/>
          <w:szCs w:val="18"/>
        </w:rPr>
        <w:t>BRAF</w:t>
      </w:r>
      <w:r w:rsidRPr="00E6777C">
        <w:rPr>
          <w:szCs w:val="18"/>
        </w:rPr>
        <w:t xml:space="preserve"> Alterations and Their Role in Brain Tumors. </w:t>
      </w:r>
      <w:r w:rsidRPr="00E6777C">
        <w:rPr>
          <w:i/>
          <w:iCs/>
          <w:szCs w:val="18"/>
        </w:rPr>
        <w:t>Cancers (Basel)</w:t>
      </w:r>
      <w:r>
        <w:rPr>
          <w:szCs w:val="18"/>
        </w:rPr>
        <w:t xml:space="preserve">, </w:t>
      </w:r>
      <w:r w:rsidRPr="00660A7A">
        <w:rPr>
          <w:b/>
          <w:bCs/>
          <w:szCs w:val="18"/>
        </w:rPr>
        <w:t>11</w:t>
      </w:r>
      <w:r w:rsidRPr="00E6777C">
        <w:rPr>
          <w:szCs w:val="18"/>
        </w:rPr>
        <w:t>(6):794.</w:t>
      </w:r>
    </w:p>
  </w:footnote>
  <w:footnote w:id="13">
    <w:p w14:paraId="70D4A2EE" w14:textId="4ED3883F" w:rsidR="0098361F" w:rsidRDefault="0098361F" w:rsidP="00AF7405">
      <w:pPr>
        <w:pStyle w:val="FootnoteText"/>
        <w:spacing w:before="0"/>
      </w:pPr>
      <w:r>
        <w:rPr>
          <w:rStyle w:val="FootnoteReference"/>
        </w:rPr>
        <w:footnoteRef/>
      </w:r>
      <w:r>
        <w:t xml:space="preserve"> </w:t>
      </w:r>
      <w:hyperlink r:id="rId4" w:history="1">
        <w:r w:rsidRPr="00805865">
          <w:rPr>
            <w:rStyle w:val="Hyperlink"/>
          </w:rPr>
          <w:t>https://www.tga.gov.au/sites/default/files/auspar-larotrectinib-201216-pi.pdf</w:t>
        </w:r>
      </w:hyperlink>
      <w:r>
        <w:t xml:space="preserve"> accessed 11 February 2022.</w:t>
      </w:r>
    </w:p>
  </w:footnote>
  <w:footnote w:id="14">
    <w:p w14:paraId="287B80D8" w14:textId="6DD95B0A" w:rsidR="0098361F" w:rsidRDefault="0098361F" w:rsidP="00AF7405">
      <w:pPr>
        <w:pStyle w:val="FootnoteText"/>
        <w:spacing w:before="0"/>
      </w:pPr>
      <w:r>
        <w:rPr>
          <w:rStyle w:val="FootnoteReference"/>
        </w:rPr>
        <w:footnoteRef/>
      </w:r>
      <w:r>
        <w:t xml:space="preserve"> </w:t>
      </w:r>
      <w:r w:rsidRPr="00AB5822">
        <w:t>Zeitouni D</w:t>
      </w:r>
      <w:r>
        <w:t>,</w:t>
      </w:r>
      <w:r w:rsidRPr="00AB5822">
        <w:t xml:space="preserve"> Catalino M.P</w:t>
      </w:r>
      <w:r>
        <w:t>,</w:t>
      </w:r>
      <w:r w:rsidRPr="00AB5822">
        <w:t xml:space="preserve"> Wise J</w:t>
      </w:r>
      <w:r>
        <w:t>, et al. (2021)</w:t>
      </w:r>
      <w:r w:rsidRPr="00AB5822">
        <w:t xml:space="preserve">. Clinical Application of Next-Generation Sequencing in Recurrent Glioblastoma. </w:t>
      </w:r>
      <w:r w:rsidRPr="00660A7A">
        <w:rPr>
          <w:i/>
          <w:iCs/>
        </w:rPr>
        <w:t>Onco</w:t>
      </w:r>
      <w:r w:rsidRPr="00AB5822">
        <w:t xml:space="preserve">, </w:t>
      </w:r>
      <w:r w:rsidRPr="00660A7A">
        <w:rPr>
          <w:b/>
          <w:bCs/>
        </w:rPr>
        <w:t>1</w:t>
      </w:r>
      <w:r w:rsidRPr="00660A7A">
        <w:t>:</w:t>
      </w:r>
      <w:r w:rsidRPr="00AB5822">
        <w:t xml:space="preserve"> 38–48.</w:t>
      </w:r>
    </w:p>
  </w:footnote>
  <w:footnote w:id="15">
    <w:p w14:paraId="250AA607" w14:textId="34C3B516" w:rsidR="0098361F" w:rsidRDefault="0098361F" w:rsidP="00AF7405">
      <w:pPr>
        <w:pStyle w:val="FootnoteText"/>
        <w:spacing w:before="0"/>
      </w:pPr>
      <w:r>
        <w:rPr>
          <w:rStyle w:val="FootnoteReference"/>
        </w:rPr>
        <w:footnoteRef/>
      </w:r>
      <w:r>
        <w:t xml:space="preserve"> </w:t>
      </w:r>
      <w:r w:rsidRPr="002F6F69">
        <w:t>Siegel C</w:t>
      </w:r>
      <w:r>
        <w:t>,</w:t>
      </w:r>
      <w:r w:rsidRPr="002F6F69">
        <w:t xml:space="preserve"> </w:t>
      </w:r>
      <w:r w:rsidRPr="002F6F69">
        <w:t>Aboud O</w:t>
      </w:r>
      <w:r>
        <w:t>,</w:t>
      </w:r>
      <w:r w:rsidRPr="002F6F69">
        <w:t xml:space="preserve"> Brown M</w:t>
      </w:r>
      <w:r>
        <w:t xml:space="preserve">, </w:t>
      </w:r>
      <w:r w:rsidRPr="002F6F69">
        <w:t>et al.</w:t>
      </w:r>
      <w:r>
        <w:t xml:space="preserve"> (2018).</w:t>
      </w:r>
      <w:r w:rsidRPr="002F6F69">
        <w:t xml:space="preserve"> Utilizing next generation sequencing reports in clinical decision making: Report from the </w:t>
      </w:r>
      <w:r>
        <w:t>N</w:t>
      </w:r>
      <w:r w:rsidRPr="002F6F69">
        <w:t xml:space="preserve">ational </w:t>
      </w:r>
      <w:r>
        <w:t>I</w:t>
      </w:r>
      <w:r w:rsidRPr="002F6F69">
        <w:t xml:space="preserve">nstitutes of </w:t>
      </w:r>
      <w:r>
        <w:t>H</w:t>
      </w:r>
      <w:r w:rsidRPr="002F6F69">
        <w:t>ealth (</w:t>
      </w:r>
      <w:r>
        <w:t>NIH</w:t>
      </w:r>
      <w:r w:rsidRPr="002F6F69">
        <w:t xml:space="preserve">) </w:t>
      </w:r>
      <w:r>
        <w:t>N</w:t>
      </w:r>
      <w:r w:rsidRPr="002F6F69">
        <w:t xml:space="preserve">euro-oncology </w:t>
      </w:r>
      <w:r>
        <w:t>B</w:t>
      </w:r>
      <w:r w:rsidRPr="002F6F69">
        <w:t>ranch (</w:t>
      </w:r>
      <w:r>
        <w:t>NOB</w:t>
      </w:r>
      <w:r w:rsidRPr="002F6F69">
        <w:t>) natural history study (</w:t>
      </w:r>
      <w:r>
        <w:t>NHS</w:t>
      </w:r>
      <w:r w:rsidRPr="002F6F69">
        <w:t xml:space="preserve">) </w:t>
      </w:r>
      <w:r>
        <w:t>P</w:t>
      </w:r>
      <w:r w:rsidRPr="002F6F69">
        <w:t>rimary brain tumor panel (</w:t>
      </w:r>
      <w:r>
        <w:t>PBTP</w:t>
      </w:r>
      <w:r w:rsidRPr="002F6F69">
        <w:t xml:space="preserve">). </w:t>
      </w:r>
      <w:r w:rsidRPr="002F6F69">
        <w:rPr>
          <w:i/>
          <w:iCs/>
        </w:rPr>
        <w:t>Neuro-Oncology</w:t>
      </w:r>
      <w:r w:rsidRPr="002F6F69">
        <w:t xml:space="preserve">, </w:t>
      </w:r>
      <w:r w:rsidRPr="00660A7A">
        <w:rPr>
          <w:b/>
          <w:bCs/>
        </w:rPr>
        <w:t>20</w:t>
      </w:r>
      <w:r>
        <w:t>:</w:t>
      </w:r>
      <w:r w:rsidRPr="002F6F69">
        <w:t xml:space="preserve"> vi170</w:t>
      </w:r>
      <w:r>
        <w:t>.</w:t>
      </w:r>
    </w:p>
  </w:footnote>
  <w:footnote w:id="16">
    <w:p w14:paraId="24901FEE" w14:textId="5306CD94" w:rsidR="0098361F" w:rsidRDefault="0098361F" w:rsidP="00AF7405">
      <w:pPr>
        <w:pStyle w:val="FootnoteText"/>
        <w:spacing w:before="0"/>
      </w:pPr>
      <w:r>
        <w:rPr>
          <w:rStyle w:val="FootnoteReference"/>
        </w:rPr>
        <w:footnoteRef/>
      </w:r>
      <w:r>
        <w:t xml:space="preserve"> </w:t>
      </w:r>
      <w:hyperlink r:id="rId5" w:history="1">
        <w:r w:rsidRPr="00813214">
          <w:rPr>
            <w:rStyle w:val="Hyperlink"/>
          </w:rPr>
          <w:t>https://panelapp.agha.umccr.org</w:t>
        </w:r>
      </w:hyperlink>
      <w:r>
        <w:t xml:space="preserve"> accessed 12 February 2022.</w:t>
      </w:r>
    </w:p>
  </w:footnote>
  <w:footnote w:id="17">
    <w:p w14:paraId="4825A894" w14:textId="470996A2" w:rsidR="0098361F" w:rsidRDefault="0098361F" w:rsidP="00AF7405">
      <w:pPr>
        <w:pStyle w:val="FootnoteText"/>
        <w:spacing w:before="0"/>
      </w:pPr>
      <w:r>
        <w:rPr>
          <w:rStyle w:val="FootnoteReference"/>
        </w:rPr>
        <w:footnoteRef/>
      </w:r>
      <w:r>
        <w:t xml:space="preserve"> </w:t>
      </w:r>
      <w:hyperlink r:id="rId6" w:history="1">
        <w:r w:rsidRPr="00805865">
          <w:rPr>
            <w:rStyle w:val="Hyperlink"/>
          </w:rPr>
          <w:t>https://www.mayocliniclabs.com/~/media/it-mmfiles/special-instructions/Targeted_DNA_Gene_Regions_Interrogated_by_Neuro-Oncology_Panel.pdf</w:t>
        </w:r>
      </w:hyperlink>
      <w:r>
        <w:t xml:space="preserve"> accessed 12 February 2022.</w:t>
      </w:r>
    </w:p>
  </w:footnote>
  <w:footnote w:id="18">
    <w:p w14:paraId="67C11BAA" w14:textId="77777777" w:rsidR="0098361F" w:rsidRDefault="0098361F" w:rsidP="00AF7405">
      <w:pPr>
        <w:pStyle w:val="FootnoteText"/>
        <w:spacing w:before="0"/>
      </w:pPr>
      <w:r>
        <w:rPr>
          <w:rStyle w:val="FootnoteReference"/>
        </w:rPr>
        <w:footnoteRef/>
      </w:r>
      <w:hyperlink r:id="rId7" w:history="1">
        <w:r w:rsidRPr="00805865">
          <w:rPr>
            <w:rStyle w:val="Hyperlink"/>
          </w:rPr>
          <w:t>http://www.msac.gov.au/internet/msac/publishing.nsf/Content/C676085C1BBC91D9CA258227001DA027/$File/1527%20-%20Final%20%20PSD.pdf</w:t>
        </w:r>
      </w:hyperlink>
      <w:r>
        <w:t xml:space="preserve"> accessed 31 January 2022.</w:t>
      </w:r>
    </w:p>
  </w:footnote>
  <w:footnote w:id="19">
    <w:p w14:paraId="764F4A28" w14:textId="752AE94D" w:rsidR="0098361F" w:rsidRDefault="0098361F" w:rsidP="00AF7405">
      <w:pPr>
        <w:pStyle w:val="FootnoteText"/>
        <w:spacing w:before="0"/>
      </w:pPr>
      <w:r>
        <w:rPr>
          <w:rStyle w:val="FootnoteReference"/>
        </w:rPr>
        <w:footnoteRef/>
      </w:r>
      <w:r>
        <w:t xml:space="preserve"> </w:t>
      </w:r>
      <w:r w:rsidRPr="009329D0">
        <w:t>White A, Fabian V, McDonald K, Nowak AK</w:t>
      </w:r>
      <w:r>
        <w:t xml:space="preserve"> (2016)</w:t>
      </w:r>
      <w:r w:rsidRPr="009329D0">
        <w:t xml:space="preserve">. Compliance with reporting guidelines by Australian pathologists: an audit of the quality of histopathology reporting in high-grade glioma. </w:t>
      </w:r>
      <w:r w:rsidRPr="00660A7A">
        <w:rPr>
          <w:i/>
          <w:iCs/>
        </w:rPr>
        <w:t>Neurooncol Pract</w:t>
      </w:r>
      <w:r>
        <w:t xml:space="preserve">, </w:t>
      </w:r>
      <w:r w:rsidRPr="00660A7A">
        <w:rPr>
          <w:b/>
          <w:bCs/>
        </w:rPr>
        <w:t>3</w:t>
      </w:r>
      <w:r w:rsidRPr="009329D0">
        <w:t>(2):97-104</w:t>
      </w:r>
      <w:r>
        <w:t>.</w:t>
      </w:r>
    </w:p>
  </w:footnote>
  <w:footnote w:id="20">
    <w:p w14:paraId="5ADCD4F8" w14:textId="5F735B18" w:rsidR="0098361F" w:rsidRDefault="0098361F" w:rsidP="00AF7405">
      <w:pPr>
        <w:pStyle w:val="FootnoteText"/>
        <w:spacing w:before="0"/>
      </w:pPr>
      <w:r>
        <w:rPr>
          <w:rStyle w:val="FootnoteReference"/>
        </w:rPr>
        <w:footnoteRef/>
      </w:r>
      <w:r>
        <w:t xml:space="preserve"> </w:t>
      </w:r>
      <w:hyperlink r:id="rId8" w:history="1">
        <w:r w:rsidRPr="00805865">
          <w:rPr>
            <w:rStyle w:val="Hyperlink"/>
          </w:rPr>
          <w:t>https://www.sonicgenetics.com.au/our-tests/all-tests/glioma-focused-gene-panel/</w:t>
        </w:r>
      </w:hyperlink>
      <w:r>
        <w:t xml:space="preserve"> accessed 11 February 2022</w:t>
      </w:r>
    </w:p>
  </w:footnote>
  <w:footnote w:id="21">
    <w:p w14:paraId="64E3126C" w14:textId="49ABA58B" w:rsidR="0098361F" w:rsidRDefault="0098361F" w:rsidP="00AF7405">
      <w:pPr>
        <w:pStyle w:val="FootnoteText"/>
        <w:spacing w:before="0"/>
      </w:pPr>
      <w:r>
        <w:rPr>
          <w:rStyle w:val="FootnoteReference"/>
        </w:rPr>
        <w:footnoteRef/>
      </w:r>
      <w:r>
        <w:t xml:space="preserve"> </w:t>
      </w:r>
      <w:hyperlink r:id="rId9" w:history="1">
        <w:r w:rsidRPr="00805865">
          <w:rPr>
            <w:rStyle w:val="Hyperlink"/>
          </w:rPr>
          <w:t>https://www.genomicsforlife.com.au/cancer-oncology-testing/comprehensive-tumour-analysis/</w:t>
        </w:r>
      </w:hyperlink>
      <w:r>
        <w:t xml:space="preserve"> accessed 11 February 2022.</w:t>
      </w:r>
    </w:p>
  </w:footnote>
  <w:footnote w:id="22">
    <w:p w14:paraId="76469B63" w14:textId="529E8007" w:rsidR="0098361F" w:rsidRPr="00CE6A32" w:rsidRDefault="0098361F" w:rsidP="00AF7405">
      <w:pPr>
        <w:pStyle w:val="FootnoteText"/>
        <w:spacing w:before="0"/>
        <w:rPr>
          <w:lang w:val="en-US"/>
        </w:rPr>
      </w:pPr>
      <w:r>
        <w:rPr>
          <w:rStyle w:val="FootnoteReference"/>
        </w:rPr>
        <w:footnoteRef/>
      </w:r>
      <w:r>
        <w:t xml:space="preserve"> </w:t>
      </w:r>
      <w:r w:rsidRPr="00CE6A32">
        <w:rPr>
          <w:lang w:val="en-US"/>
        </w:rPr>
        <w:t xml:space="preserve">Perry A.&amp; </w:t>
      </w:r>
      <w:r w:rsidRPr="00CE6A32">
        <w:rPr>
          <w:lang w:val="en-US"/>
        </w:rPr>
        <w:t xml:space="preserve">Wesseling P (2016). 'Histologic classification of </w:t>
      </w:r>
      <w:r w:rsidRPr="00CE6A32">
        <w:rPr>
          <w:lang w:val="en-US"/>
        </w:rPr>
        <w:t xml:space="preserve">gliomas'. </w:t>
      </w:r>
      <w:r w:rsidRPr="00CE6A32">
        <w:rPr>
          <w:i/>
          <w:lang w:val="en-US"/>
        </w:rPr>
        <w:t>Handb Clin Neurol</w:t>
      </w:r>
      <w:r w:rsidRPr="00CE6A32">
        <w:rPr>
          <w:lang w:val="en-US"/>
        </w:rPr>
        <w:t xml:space="preserve">, </w:t>
      </w:r>
      <w:r w:rsidRPr="00660A7A">
        <w:rPr>
          <w:b/>
          <w:bCs/>
          <w:lang w:val="en-US"/>
        </w:rPr>
        <w:t>134</w:t>
      </w:r>
      <w:r>
        <w:rPr>
          <w:lang w:val="en-US"/>
        </w:rPr>
        <w:t>:</w:t>
      </w:r>
      <w:r w:rsidRPr="00CE6A32">
        <w:rPr>
          <w:lang w:val="en-US"/>
        </w:rPr>
        <w:t xml:space="preserve"> 71-95.</w:t>
      </w:r>
    </w:p>
  </w:footnote>
  <w:footnote w:id="23">
    <w:p w14:paraId="53379959" w14:textId="40FB4910" w:rsidR="0098361F" w:rsidRDefault="0098361F" w:rsidP="00AF7405">
      <w:pPr>
        <w:pStyle w:val="FootnoteText"/>
        <w:spacing w:before="0"/>
      </w:pPr>
      <w:r>
        <w:rPr>
          <w:rStyle w:val="FootnoteReference"/>
        </w:rPr>
        <w:footnoteRef/>
      </w:r>
      <w:r>
        <w:t xml:space="preserve"> </w:t>
      </w:r>
      <w:r w:rsidRPr="004028D0">
        <w:t xml:space="preserve">Ostrom QT, Cioffi G, </w:t>
      </w:r>
      <w:r w:rsidRPr="004028D0">
        <w:t xml:space="preserve">Gittleman H, </w:t>
      </w:r>
      <w:r>
        <w:t>et al. (2019)</w:t>
      </w:r>
      <w:r w:rsidRPr="004028D0">
        <w:t xml:space="preserve">. CBTRUS Statistical Report: Primary Brain and Other Central Nervous System Tumors Diagnosed in the United States in 2012-2016. </w:t>
      </w:r>
      <w:r w:rsidRPr="003B2CEC">
        <w:rPr>
          <w:i/>
          <w:iCs/>
        </w:rPr>
        <w:t>Neuro Oncol</w:t>
      </w:r>
      <w:r>
        <w:t>,</w:t>
      </w:r>
      <w:r w:rsidRPr="004028D0">
        <w:t xml:space="preserve"> </w:t>
      </w:r>
      <w:r w:rsidRPr="003B2CEC">
        <w:rPr>
          <w:b/>
          <w:bCs/>
        </w:rPr>
        <w:t>21</w:t>
      </w:r>
      <w:r w:rsidRPr="004028D0">
        <w:t>(Suppl 5</w:t>
      </w:r>
      <w:r w:rsidRPr="004028D0">
        <w:t>):v1-v100.</w:t>
      </w:r>
    </w:p>
  </w:footnote>
  <w:footnote w:id="24">
    <w:p w14:paraId="009BC982" w14:textId="44F88E74" w:rsidR="0098361F" w:rsidRDefault="0098361F">
      <w:pPr>
        <w:pStyle w:val="FootnoteText"/>
      </w:pPr>
      <w:r>
        <w:rPr>
          <w:rStyle w:val="FootnoteReference"/>
        </w:rPr>
        <w:footnoteRef/>
      </w:r>
      <w:r>
        <w:t xml:space="preserve"> </w:t>
      </w:r>
      <w:r w:rsidRPr="00202921">
        <w:t>Synhaeve NE, et al</w:t>
      </w:r>
      <w:r>
        <w:t>.</w:t>
      </w:r>
      <w:r w:rsidRPr="00202921">
        <w:t xml:space="preserve"> (2018). 'Clinical evaluation of a dedicated next </w:t>
      </w:r>
      <w:r w:rsidRPr="00202921">
        <w:t xml:space="preserve">generation  sequencing panel for routine glioma diagnostics'. </w:t>
      </w:r>
      <w:r w:rsidRPr="00202921">
        <w:rPr>
          <w:i/>
          <w:iCs/>
        </w:rPr>
        <w:t>Acta Neuropathol Commun</w:t>
      </w:r>
      <w:r w:rsidRPr="00202921">
        <w:t xml:space="preserve">, </w:t>
      </w:r>
      <w:r w:rsidRPr="00202921">
        <w:rPr>
          <w:b/>
          <w:bCs/>
        </w:rPr>
        <w:t>6</w:t>
      </w:r>
      <w:r w:rsidRPr="00202921">
        <w:t>(1), 126.</w:t>
      </w:r>
    </w:p>
  </w:footnote>
  <w:footnote w:id="25">
    <w:p w14:paraId="7810406B" w14:textId="4A96FCED" w:rsidR="0098361F" w:rsidRDefault="0098361F" w:rsidP="00202921">
      <w:pPr>
        <w:pStyle w:val="FootnoteText"/>
        <w:spacing w:before="0"/>
      </w:pPr>
      <w:r>
        <w:rPr>
          <w:rStyle w:val="FootnoteReference"/>
        </w:rPr>
        <w:footnoteRef/>
      </w:r>
      <w:r>
        <w:t xml:space="preserve"> Cheung VKY, Buckland ME, et al (2021). Next generation sequencing impacts the classification and management of primary brain tumours. </w:t>
      </w:r>
      <w:r w:rsidRPr="003B2CEC">
        <w:rPr>
          <w:i/>
          <w:iCs/>
        </w:rPr>
        <w:t>Pathology</w:t>
      </w:r>
      <w:r>
        <w:t xml:space="preserve">, </w:t>
      </w:r>
      <w:r w:rsidRPr="003B2CEC">
        <w:rPr>
          <w:b/>
          <w:bCs/>
        </w:rPr>
        <w:t>53</w:t>
      </w:r>
      <w:r w:rsidRPr="00980FC3">
        <w:t>(6):</w:t>
      </w:r>
      <w:r>
        <w:t xml:space="preserve"> </w:t>
      </w:r>
      <w:r w:rsidRPr="00980FC3">
        <w:t>780-782</w:t>
      </w:r>
      <w:r>
        <w:t>.</w:t>
      </w:r>
    </w:p>
  </w:footnote>
  <w:footnote w:id="26">
    <w:p w14:paraId="246CACBC" w14:textId="0FA71592" w:rsidR="0098361F" w:rsidRDefault="0098361F" w:rsidP="00354CD1">
      <w:pPr>
        <w:pStyle w:val="FootnoteText"/>
        <w:spacing w:before="0"/>
      </w:pPr>
      <w:r>
        <w:rPr>
          <w:rStyle w:val="FootnoteReference"/>
        </w:rPr>
        <w:footnoteRef/>
      </w:r>
      <w:r>
        <w:t xml:space="preserve"> </w:t>
      </w:r>
      <w:r w:rsidRPr="00354CD1">
        <w:t>deWitt J, et al</w:t>
      </w:r>
      <w:r>
        <w:t>. (2017).</w:t>
      </w:r>
      <w:r w:rsidRPr="00354CD1">
        <w:t xml:space="preserve"> Cost-effectiveness of IDH testing in diffuse gliomas according to the 2016 WHO classificaton of tumors of the central nervous system recommendations. </w:t>
      </w:r>
      <w:r w:rsidRPr="00354CD1">
        <w:rPr>
          <w:i/>
          <w:iCs/>
        </w:rPr>
        <w:t>Neuro-Oncology</w:t>
      </w:r>
      <w:r>
        <w:t xml:space="preserve">, </w:t>
      </w:r>
      <w:r w:rsidRPr="00354CD1">
        <w:rPr>
          <w:b/>
          <w:bCs/>
        </w:rPr>
        <w:t>19</w:t>
      </w:r>
      <w:r w:rsidRPr="00354CD1">
        <w:t>(12): 1640-50.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CEEA" w14:textId="77777777" w:rsidR="004A2560" w:rsidRDefault="004A25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BD21B" w14:textId="77777777" w:rsidR="004A2560" w:rsidRDefault="004A25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7BCB8" w14:textId="77777777" w:rsidR="004A2560" w:rsidRDefault="004A2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954"/>
    <w:multiLevelType w:val="hybridMultilevel"/>
    <w:tmpl w:val="3976CA5C"/>
    <w:lvl w:ilvl="0" w:tplc="C130EC94">
      <w:start w:val="1"/>
      <w:numFmt w:val="lowerLetter"/>
      <w:lvlText w:val="%1)"/>
      <w:lvlJc w:val="left"/>
      <w:pPr>
        <w:ind w:left="408" w:hanging="360"/>
      </w:pPr>
    </w:lvl>
    <w:lvl w:ilvl="1" w:tplc="2214DC00">
      <w:start w:val="1"/>
      <w:numFmt w:val="lowerRoman"/>
      <w:lvlText w:val="%2."/>
      <w:lvlJc w:val="left"/>
      <w:pPr>
        <w:ind w:left="1128" w:hanging="360"/>
      </w:pPr>
    </w:lvl>
    <w:lvl w:ilvl="2" w:tplc="0C09001B">
      <w:start w:val="1"/>
      <w:numFmt w:val="lowerRoman"/>
      <w:lvlText w:val="%3."/>
      <w:lvlJc w:val="right"/>
      <w:pPr>
        <w:ind w:left="1848" w:hanging="180"/>
      </w:pPr>
    </w:lvl>
    <w:lvl w:ilvl="3" w:tplc="0C09000F">
      <w:start w:val="1"/>
      <w:numFmt w:val="decimal"/>
      <w:lvlText w:val="%4."/>
      <w:lvlJc w:val="left"/>
      <w:pPr>
        <w:ind w:left="2568" w:hanging="360"/>
      </w:pPr>
    </w:lvl>
    <w:lvl w:ilvl="4" w:tplc="0C090019">
      <w:start w:val="1"/>
      <w:numFmt w:val="lowerLetter"/>
      <w:lvlText w:val="%5."/>
      <w:lvlJc w:val="left"/>
      <w:pPr>
        <w:ind w:left="3288" w:hanging="360"/>
      </w:pPr>
    </w:lvl>
    <w:lvl w:ilvl="5" w:tplc="0C09001B">
      <w:start w:val="1"/>
      <w:numFmt w:val="lowerRoman"/>
      <w:lvlText w:val="%6."/>
      <w:lvlJc w:val="right"/>
      <w:pPr>
        <w:ind w:left="4008" w:hanging="180"/>
      </w:pPr>
    </w:lvl>
    <w:lvl w:ilvl="6" w:tplc="0C09000F">
      <w:start w:val="1"/>
      <w:numFmt w:val="decimal"/>
      <w:lvlText w:val="%7."/>
      <w:lvlJc w:val="left"/>
      <w:pPr>
        <w:ind w:left="4728" w:hanging="360"/>
      </w:pPr>
    </w:lvl>
    <w:lvl w:ilvl="7" w:tplc="0C090019">
      <w:start w:val="1"/>
      <w:numFmt w:val="lowerLetter"/>
      <w:lvlText w:val="%8."/>
      <w:lvlJc w:val="left"/>
      <w:pPr>
        <w:ind w:left="5448" w:hanging="360"/>
      </w:pPr>
    </w:lvl>
    <w:lvl w:ilvl="8" w:tplc="0C09001B">
      <w:start w:val="1"/>
      <w:numFmt w:val="lowerRoman"/>
      <w:lvlText w:val="%9."/>
      <w:lvlJc w:val="right"/>
      <w:pPr>
        <w:ind w:left="6168" w:hanging="180"/>
      </w:pPr>
    </w:lvl>
  </w:abstractNum>
  <w:abstractNum w:abstractNumId="1" w15:restartNumberingAfterBreak="0">
    <w:nsid w:val="01B06A2F"/>
    <w:multiLevelType w:val="hybridMultilevel"/>
    <w:tmpl w:val="95D211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3958F5"/>
    <w:multiLevelType w:val="hybridMultilevel"/>
    <w:tmpl w:val="F7E4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64DF5"/>
    <w:multiLevelType w:val="hybridMultilevel"/>
    <w:tmpl w:val="808613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2D75DE"/>
    <w:multiLevelType w:val="hybridMultilevel"/>
    <w:tmpl w:val="20A4A75C"/>
    <w:lvl w:ilvl="0" w:tplc="08090001">
      <w:start w:val="1"/>
      <w:numFmt w:val="bullet"/>
      <w:lvlText w:val=""/>
      <w:lvlJc w:val="left"/>
      <w:pPr>
        <w:ind w:left="714" w:hanging="360"/>
      </w:pPr>
      <w:rPr>
        <w:rFonts w:ascii="Symbol" w:hAnsi="Symbol" w:hint="default"/>
      </w:rPr>
    </w:lvl>
    <w:lvl w:ilvl="1" w:tplc="08090003">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D22E8"/>
    <w:multiLevelType w:val="hybridMultilevel"/>
    <w:tmpl w:val="D1FAF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B5873"/>
    <w:multiLevelType w:val="hybridMultilevel"/>
    <w:tmpl w:val="FE360DE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45E77"/>
    <w:multiLevelType w:val="hybridMultilevel"/>
    <w:tmpl w:val="96F6CFD6"/>
    <w:lvl w:ilvl="0" w:tplc="0C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87018"/>
    <w:multiLevelType w:val="hybridMultilevel"/>
    <w:tmpl w:val="5720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4371DC"/>
    <w:multiLevelType w:val="multilevel"/>
    <w:tmpl w:val="0390123C"/>
    <w:lvl w:ilvl="0">
      <w:start w:val="1"/>
      <w:numFmt w:val="decimal"/>
      <w:pStyle w:val="Heading1"/>
      <w:lvlText w:val="Section %1"/>
      <w:lvlJc w:val="left"/>
      <w:pPr>
        <w:ind w:left="786" w:hanging="360"/>
      </w:pPr>
      <w:rPr>
        <w:rFonts w:hint="default"/>
      </w:rPr>
    </w:lvl>
    <w:lvl w:ilvl="1">
      <w:start w:val="1"/>
      <w:numFmt w:val="decimal"/>
      <w:pStyle w:val="Heading2"/>
      <w:lvlText w:val="%1.%2"/>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6C66CA"/>
    <w:multiLevelType w:val="hybridMultilevel"/>
    <w:tmpl w:val="2ABA8854"/>
    <w:lvl w:ilvl="0" w:tplc="8020D18A">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7105D"/>
    <w:multiLevelType w:val="hybridMultilevel"/>
    <w:tmpl w:val="E90ABB58"/>
    <w:lvl w:ilvl="0" w:tplc="0809000F">
      <w:start w:val="1"/>
      <w:numFmt w:val="decimal"/>
      <w:lvlText w:val="%1."/>
      <w:lvlJc w:val="lef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08C6CB3"/>
    <w:multiLevelType w:val="hybridMultilevel"/>
    <w:tmpl w:val="CC1E2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pStyle w:val="Instructionaltext-bullet"/>
      <w:lvlText w:val=""/>
      <w:lvlJc w:val="left"/>
      <w:pPr>
        <w:ind w:left="644" w:hanging="360"/>
      </w:pPr>
      <w:rPr>
        <w:rFonts w:ascii="Symbol" w:hAnsi="Symbol" w:cs="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cs="Wingdings" w:hint="default"/>
      </w:rPr>
    </w:lvl>
    <w:lvl w:ilvl="3" w:tplc="0C090001" w:tentative="1">
      <w:start w:val="1"/>
      <w:numFmt w:val="bullet"/>
      <w:lvlText w:val=""/>
      <w:lvlJc w:val="left"/>
      <w:pPr>
        <w:ind w:left="2804" w:hanging="360"/>
      </w:pPr>
      <w:rPr>
        <w:rFonts w:ascii="Symbol" w:hAnsi="Symbol" w:cs="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cs="Wingdings" w:hint="default"/>
      </w:rPr>
    </w:lvl>
    <w:lvl w:ilvl="6" w:tplc="0C090001" w:tentative="1">
      <w:start w:val="1"/>
      <w:numFmt w:val="bullet"/>
      <w:lvlText w:val=""/>
      <w:lvlJc w:val="left"/>
      <w:pPr>
        <w:ind w:left="4964" w:hanging="360"/>
      </w:pPr>
      <w:rPr>
        <w:rFonts w:ascii="Symbol" w:hAnsi="Symbol" w:cs="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5A746899"/>
    <w:multiLevelType w:val="hybridMultilevel"/>
    <w:tmpl w:val="2CA07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CC2E38"/>
    <w:multiLevelType w:val="hybridMultilevel"/>
    <w:tmpl w:val="937A2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67694B"/>
    <w:multiLevelType w:val="hybridMultilevel"/>
    <w:tmpl w:val="5DE200B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74BB70B8"/>
    <w:multiLevelType w:val="hybridMultilevel"/>
    <w:tmpl w:val="2F541AB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3" w15:restartNumberingAfterBreak="0">
    <w:nsid w:val="763B139B"/>
    <w:multiLevelType w:val="hybridMultilevel"/>
    <w:tmpl w:val="BB16F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757F50"/>
    <w:multiLevelType w:val="hybridMultilevel"/>
    <w:tmpl w:val="CDCC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FF5B5D"/>
    <w:multiLevelType w:val="hybridMultilevel"/>
    <w:tmpl w:val="E95E400A"/>
    <w:lvl w:ilvl="0" w:tplc="920E9C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4"/>
  </w:num>
  <w:num w:numId="2">
    <w:abstractNumId w:val="27"/>
  </w:num>
  <w:num w:numId="3">
    <w:abstractNumId w:val="5"/>
  </w:num>
  <w:num w:numId="4">
    <w:abstractNumId w:val="8"/>
  </w:num>
  <w:num w:numId="5">
    <w:abstractNumId w:val="24"/>
  </w:num>
  <w:num w:numId="6">
    <w:abstractNumId w:val="9"/>
  </w:num>
  <w:num w:numId="7">
    <w:abstractNumId w:val="12"/>
  </w:num>
  <w:num w:numId="8">
    <w:abstractNumId w:val="13"/>
  </w:num>
  <w:num w:numId="9">
    <w:abstractNumId w:val="18"/>
  </w:num>
  <w:num w:numId="10">
    <w:abstractNumId w:val="17"/>
  </w:num>
  <w:num w:numId="11">
    <w:abstractNumId w:val="1"/>
  </w:num>
  <w:num w:numId="12">
    <w:abstractNumId w:val="16"/>
  </w:num>
  <w:num w:numId="13">
    <w:abstractNumId w:val="3"/>
  </w:num>
  <w:num w:numId="14">
    <w:abstractNumId w:val="21"/>
  </w:num>
  <w:num w:numId="15">
    <w:abstractNumId w:val="4"/>
  </w:num>
  <w:num w:numId="16">
    <w:abstractNumId w:val="2"/>
  </w:num>
  <w:num w:numId="17">
    <w:abstractNumId w:val="6"/>
  </w:num>
  <w:num w:numId="18">
    <w:abstractNumId w:val="20"/>
  </w:num>
  <w:num w:numId="19">
    <w:abstractNumId w:val="26"/>
  </w:num>
  <w:num w:numId="20">
    <w:abstractNumId w:val="7"/>
  </w:num>
  <w:num w:numId="21">
    <w:abstractNumId w:val="22"/>
  </w:num>
  <w:num w:numId="22">
    <w:abstractNumId w:val="14"/>
  </w:num>
  <w:num w:numId="23">
    <w:abstractNumId w:val="14"/>
  </w:num>
  <w:num w:numId="24">
    <w:abstractNumId w:val="19"/>
  </w:num>
  <w:num w:numId="25">
    <w:abstractNumId w:val="14"/>
  </w:num>
  <w:num w:numId="26">
    <w:abstractNumId w:val="14"/>
  </w:num>
  <w:num w:numId="27">
    <w:abstractNumId w:val="14"/>
  </w:num>
  <w:num w:numId="28">
    <w:abstractNumId w:val="14"/>
  </w:num>
  <w:num w:numId="29">
    <w:abstractNumId w:val="10"/>
  </w:num>
  <w:num w:numId="30">
    <w:abstractNumId w:val="15"/>
  </w:num>
  <w:num w:numId="31">
    <w:abstractNumId w:val="11"/>
  </w:num>
  <w:num w:numId="32">
    <w:abstractNumId w:val="23"/>
  </w:num>
  <w:num w:numId="33">
    <w:abstractNumId w:val="25"/>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925"/>
    <w:rsid w:val="00003FC8"/>
    <w:rsid w:val="00012898"/>
    <w:rsid w:val="000128BE"/>
    <w:rsid w:val="000160AD"/>
    <w:rsid w:val="0001697F"/>
    <w:rsid w:val="00021DE5"/>
    <w:rsid w:val="00027042"/>
    <w:rsid w:val="000333FC"/>
    <w:rsid w:val="00051044"/>
    <w:rsid w:val="00077117"/>
    <w:rsid w:val="00084959"/>
    <w:rsid w:val="000A0CA5"/>
    <w:rsid w:val="000A1D4E"/>
    <w:rsid w:val="000A6834"/>
    <w:rsid w:val="00111252"/>
    <w:rsid w:val="00112E8C"/>
    <w:rsid w:val="00114E81"/>
    <w:rsid w:val="001315CE"/>
    <w:rsid w:val="001379B8"/>
    <w:rsid w:val="00154869"/>
    <w:rsid w:val="001752AA"/>
    <w:rsid w:val="00180C8B"/>
    <w:rsid w:val="001A3B43"/>
    <w:rsid w:val="001B7F7F"/>
    <w:rsid w:val="001C2AFE"/>
    <w:rsid w:val="001C68F1"/>
    <w:rsid w:val="00202921"/>
    <w:rsid w:val="00237848"/>
    <w:rsid w:val="00261ABA"/>
    <w:rsid w:val="002723BE"/>
    <w:rsid w:val="00284A44"/>
    <w:rsid w:val="00292AA1"/>
    <w:rsid w:val="002A5B97"/>
    <w:rsid w:val="002C1438"/>
    <w:rsid w:val="00300F47"/>
    <w:rsid w:val="003030C7"/>
    <w:rsid w:val="00312699"/>
    <w:rsid w:val="00326C54"/>
    <w:rsid w:val="00354CD1"/>
    <w:rsid w:val="0036406B"/>
    <w:rsid w:val="00364868"/>
    <w:rsid w:val="003746C1"/>
    <w:rsid w:val="003957DF"/>
    <w:rsid w:val="003A78EB"/>
    <w:rsid w:val="003B2953"/>
    <w:rsid w:val="003B2CEC"/>
    <w:rsid w:val="003B72B7"/>
    <w:rsid w:val="003C111D"/>
    <w:rsid w:val="003C4B1E"/>
    <w:rsid w:val="003E28AF"/>
    <w:rsid w:val="003F289C"/>
    <w:rsid w:val="00405D7D"/>
    <w:rsid w:val="00407DCE"/>
    <w:rsid w:val="00427D94"/>
    <w:rsid w:val="0043164E"/>
    <w:rsid w:val="004A2560"/>
    <w:rsid w:val="004C0286"/>
    <w:rsid w:val="004D7DD1"/>
    <w:rsid w:val="004E276F"/>
    <w:rsid w:val="005114AA"/>
    <w:rsid w:val="00524FA7"/>
    <w:rsid w:val="0053037F"/>
    <w:rsid w:val="00540DA6"/>
    <w:rsid w:val="0054206E"/>
    <w:rsid w:val="005713C3"/>
    <w:rsid w:val="005738DC"/>
    <w:rsid w:val="005935B5"/>
    <w:rsid w:val="00594539"/>
    <w:rsid w:val="005A43D7"/>
    <w:rsid w:val="005A727C"/>
    <w:rsid w:val="005C265A"/>
    <w:rsid w:val="005E206D"/>
    <w:rsid w:val="00656F43"/>
    <w:rsid w:val="00660A7A"/>
    <w:rsid w:val="00674247"/>
    <w:rsid w:val="00683E30"/>
    <w:rsid w:val="006A0DE5"/>
    <w:rsid w:val="006A71AA"/>
    <w:rsid w:val="006F4DD8"/>
    <w:rsid w:val="00705D58"/>
    <w:rsid w:val="00722BC6"/>
    <w:rsid w:val="007344F5"/>
    <w:rsid w:val="00745059"/>
    <w:rsid w:val="007462DE"/>
    <w:rsid w:val="00752867"/>
    <w:rsid w:val="007542A7"/>
    <w:rsid w:val="00762925"/>
    <w:rsid w:val="00764AB8"/>
    <w:rsid w:val="007734B0"/>
    <w:rsid w:val="007817B3"/>
    <w:rsid w:val="007A1A9C"/>
    <w:rsid w:val="007A79A2"/>
    <w:rsid w:val="00816921"/>
    <w:rsid w:val="00841F28"/>
    <w:rsid w:val="00853440"/>
    <w:rsid w:val="00854F21"/>
    <w:rsid w:val="00855EE2"/>
    <w:rsid w:val="008646DC"/>
    <w:rsid w:val="00867CDF"/>
    <w:rsid w:val="008776E1"/>
    <w:rsid w:val="00882B1F"/>
    <w:rsid w:val="00920FEB"/>
    <w:rsid w:val="00930B8A"/>
    <w:rsid w:val="0094119E"/>
    <w:rsid w:val="00944CA2"/>
    <w:rsid w:val="00976FF4"/>
    <w:rsid w:val="0098361F"/>
    <w:rsid w:val="009B44CA"/>
    <w:rsid w:val="009D4824"/>
    <w:rsid w:val="00A22471"/>
    <w:rsid w:val="00A2660A"/>
    <w:rsid w:val="00A4258F"/>
    <w:rsid w:val="00A5113D"/>
    <w:rsid w:val="00A54FDD"/>
    <w:rsid w:val="00A639BA"/>
    <w:rsid w:val="00A64C04"/>
    <w:rsid w:val="00A64CD8"/>
    <w:rsid w:val="00A8233C"/>
    <w:rsid w:val="00A94989"/>
    <w:rsid w:val="00AE4007"/>
    <w:rsid w:val="00AF7405"/>
    <w:rsid w:val="00B11543"/>
    <w:rsid w:val="00B20AEE"/>
    <w:rsid w:val="00B21AB3"/>
    <w:rsid w:val="00B348CE"/>
    <w:rsid w:val="00B514C2"/>
    <w:rsid w:val="00B93DB7"/>
    <w:rsid w:val="00BA545D"/>
    <w:rsid w:val="00BC12DF"/>
    <w:rsid w:val="00BC2276"/>
    <w:rsid w:val="00BC2DE4"/>
    <w:rsid w:val="00BD2275"/>
    <w:rsid w:val="00BD7FDA"/>
    <w:rsid w:val="00BE1D5B"/>
    <w:rsid w:val="00BF4A0B"/>
    <w:rsid w:val="00BF7946"/>
    <w:rsid w:val="00C00851"/>
    <w:rsid w:val="00C17ED9"/>
    <w:rsid w:val="00C314F0"/>
    <w:rsid w:val="00C51603"/>
    <w:rsid w:val="00C56A18"/>
    <w:rsid w:val="00C75EB5"/>
    <w:rsid w:val="00C870CC"/>
    <w:rsid w:val="00C91491"/>
    <w:rsid w:val="00CA144A"/>
    <w:rsid w:val="00CF4993"/>
    <w:rsid w:val="00D154EC"/>
    <w:rsid w:val="00D249F4"/>
    <w:rsid w:val="00D36526"/>
    <w:rsid w:val="00D45620"/>
    <w:rsid w:val="00D93C5E"/>
    <w:rsid w:val="00D94988"/>
    <w:rsid w:val="00DB16B3"/>
    <w:rsid w:val="00DB19D1"/>
    <w:rsid w:val="00DB77F3"/>
    <w:rsid w:val="00DC1820"/>
    <w:rsid w:val="00DD013A"/>
    <w:rsid w:val="00DD0335"/>
    <w:rsid w:val="00DF49C2"/>
    <w:rsid w:val="00E33E8B"/>
    <w:rsid w:val="00E34501"/>
    <w:rsid w:val="00E5600C"/>
    <w:rsid w:val="00E6196C"/>
    <w:rsid w:val="00EA0B5E"/>
    <w:rsid w:val="00EA2BF6"/>
    <w:rsid w:val="00EA5EF9"/>
    <w:rsid w:val="00EA7D85"/>
    <w:rsid w:val="00EB68A2"/>
    <w:rsid w:val="00EC1C6C"/>
    <w:rsid w:val="00EC1D74"/>
    <w:rsid w:val="00EC5885"/>
    <w:rsid w:val="00EF0B63"/>
    <w:rsid w:val="00F03C15"/>
    <w:rsid w:val="00F4574D"/>
    <w:rsid w:val="00F45D48"/>
    <w:rsid w:val="00F94444"/>
    <w:rsid w:val="00FA5034"/>
    <w:rsid w:val="00FD0ED0"/>
    <w:rsid w:val="00FD1413"/>
    <w:rsid w:val="00FD3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3CA0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2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62925"/>
    <w:pPr>
      <w:keepNext/>
      <w:keepLines/>
      <w:numPr>
        <w:numId w:val="1"/>
      </w:numPr>
      <w:pBdr>
        <w:bottom w:val="single" w:sz="4" w:space="1" w:color="auto"/>
      </w:pBdr>
      <w:spacing w:before="600" w:after="480"/>
      <w:outlineLvl w:val="0"/>
    </w:pPr>
    <w:rPr>
      <w:rFonts w:ascii="Franklin Gothic Medium" w:eastAsiaTheme="majorEastAsia" w:hAnsi="Franklin Gothic Medium" w:cstheme="majorBidi"/>
      <w:sz w:val="44"/>
      <w:szCs w:val="32"/>
      <w:lang w:eastAsia="en-US"/>
    </w:rPr>
  </w:style>
  <w:style w:type="paragraph" w:styleId="Heading2">
    <w:name w:val="heading 2"/>
    <w:basedOn w:val="Normal"/>
    <w:next w:val="Normal"/>
    <w:link w:val="Heading2Char"/>
    <w:uiPriority w:val="9"/>
    <w:unhideWhenUsed/>
    <w:qFormat/>
    <w:rsid w:val="00762925"/>
    <w:pPr>
      <w:keepNext/>
      <w:keepLines/>
      <w:numPr>
        <w:ilvl w:val="1"/>
        <w:numId w:val="1"/>
      </w:numPr>
      <w:spacing w:before="360" w:after="240"/>
      <w:outlineLvl w:val="1"/>
    </w:pPr>
    <w:rPr>
      <w:rFonts w:ascii="Franklin Gothic Medium" w:eastAsiaTheme="majorEastAsia" w:hAnsi="Franklin Gothic Medium" w:cstheme="majorBidi"/>
      <w:color w:val="000000" w:themeColor="text1"/>
      <w:sz w:val="32"/>
      <w:szCs w:val="26"/>
      <w:lang w:eastAsia="en-US"/>
    </w:rPr>
  </w:style>
  <w:style w:type="paragraph" w:styleId="Heading3">
    <w:name w:val="heading 3"/>
    <w:basedOn w:val="Normal"/>
    <w:next w:val="Normal"/>
    <w:link w:val="Heading3Char"/>
    <w:uiPriority w:val="9"/>
    <w:unhideWhenUsed/>
    <w:qFormat/>
    <w:rsid w:val="00762925"/>
    <w:pPr>
      <w:keepNext/>
      <w:keepLines/>
      <w:tabs>
        <w:tab w:val="left" w:pos="851"/>
      </w:tabs>
      <w:spacing w:before="360" w:after="200"/>
      <w:outlineLvl w:val="2"/>
    </w:pPr>
    <w:rPr>
      <w:rFonts w:ascii="Franklin Gothic Medium" w:eastAsiaTheme="majorEastAsia" w:hAnsi="Franklin Gothic Medium" w:cstheme="majorBidi"/>
      <w:lang w:eastAsia="en-US"/>
    </w:rPr>
  </w:style>
  <w:style w:type="paragraph" w:styleId="Heading4">
    <w:name w:val="heading 4"/>
    <w:basedOn w:val="Heading3"/>
    <w:next w:val="Normal"/>
    <w:link w:val="Heading4Char"/>
    <w:uiPriority w:val="9"/>
    <w:unhideWhenUsed/>
    <w:qFormat/>
    <w:rsid w:val="00762925"/>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925"/>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762925"/>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762925"/>
    <w:rPr>
      <w:rFonts w:ascii="Franklin Gothic Medium" w:eastAsiaTheme="majorEastAsia" w:hAnsi="Franklin Gothic Medium" w:cstheme="majorBidi"/>
      <w:sz w:val="24"/>
      <w:szCs w:val="24"/>
    </w:rPr>
  </w:style>
  <w:style w:type="character" w:customStyle="1" w:styleId="Heading4Char">
    <w:name w:val="Heading 4 Char"/>
    <w:basedOn w:val="DefaultParagraphFont"/>
    <w:link w:val="Heading4"/>
    <w:uiPriority w:val="9"/>
    <w:rsid w:val="00762925"/>
    <w:rPr>
      <w:rFonts w:ascii="Franklin Gothic Medium" w:eastAsiaTheme="majorEastAsia" w:hAnsi="Franklin Gothic Medium" w:cstheme="majorBidi"/>
      <w:i/>
      <w:sz w:val="24"/>
      <w:szCs w:val="24"/>
    </w:rPr>
  </w:style>
  <w:style w:type="paragraph" w:customStyle="1" w:styleId="TableText">
    <w:name w:val="Table Text"/>
    <w:basedOn w:val="Normal"/>
    <w:link w:val="TableTextChar"/>
    <w:qFormat/>
    <w:rsid w:val="00762925"/>
    <w:pPr>
      <w:spacing w:before="40" w:after="40"/>
    </w:pPr>
    <w:rPr>
      <w:rFonts w:ascii="Arial Narrow" w:eastAsiaTheme="minorHAnsi" w:hAnsi="Arial Narrow" w:cstheme="minorBidi"/>
      <w:sz w:val="20"/>
      <w:szCs w:val="22"/>
      <w:lang w:eastAsia="en-US"/>
    </w:rPr>
  </w:style>
  <w:style w:type="paragraph" w:customStyle="1" w:styleId="TableHeading">
    <w:name w:val="TableHeading"/>
    <w:basedOn w:val="Normal"/>
    <w:link w:val="TableHeadingChar"/>
    <w:qFormat/>
    <w:rsid w:val="00762925"/>
    <w:pPr>
      <w:keepNext/>
      <w:spacing w:before="120" w:after="60"/>
    </w:pPr>
    <w:rPr>
      <w:rFonts w:ascii="Arial Narrow" w:eastAsiaTheme="minorHAnsi" w:hAnsi="Arial Narrow" w:cstheme="minorBidi"/>
      <w:b/>
      <w:sz w:val="20"/>
      <w:szCs w:val="22"/>
      <w:lang w:eastAsia="en-US"/>
    </w:rPr>
  </w:style>
  <w:style w:type="paragraph" w:styleId="CommentText">
    <w:name w:val="annotation text"/>
    <w:basedOn w:val="Normal"/>
    <w:link w:val="CommentTextChar"/>
    <w:unhideWhenUsed/>
    <w:rsid w:val="00762925"/>
    <w:pPr>
      <w:spacing w:before="120" w:after="240"/>
    </w:pPr>
    <w:rPr>
      <w:rFonts w:ascii="Calibri" w:hAnsi="Calibri"/>
      <w:color w:val="000000"/>
      <w:sz w:val="22"/>
      <w:lang w:eastAsia="en-AU"/>
    </w:rPr>
  </w:style>
  <w:style w:type="character" w:customStyle="1" w:styleId="CommentTextChar">
    <w:name w:val="Comment Text Char"/>
    <w:basedOn w:val="DefaultParagraphFont"/>
    <w:link w:val="CommentText"/>
    <w:rsid w:val="00762925"/>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nhideWhenUsed/>
    <w:qFormat/>
    <w:rsid w:val="00762925"/>
    <w:rPr>
      <w:sz w:val="16"/>
      <w:szCs w:val="16"/>
    </w:rPr>
  </w:style>
  <w:style w:type="character" w:customStyle="1" w:styleId="TableTextChar">
    <w:name w:val="Table Text Char"/>
    <w:basedOn w:val="DefaultParagraphFont"/>
    <w:link w:val="TableText"/>
    <w:rsid w:val="00762925"/>
    <w:rPr>
      <w:rFonts w:ascii="Arial Narrow" w:hAnsi="Arial Narrow"/>
      <w:sz w:val="20"/>
    </w:rPr>
  </w:style>
  <w:style w:type="character" w:customStyle="1" w:styleId="TableHeadingChar">
    <w:name w:val="TableHeading Char"/>
    <w:link w:val="TableHeading"/>
    <w:rsid w:val="00762925"/>
    <w:rPr>
      <w:rFonts w:ascii="Arial Narrow" w:hAnsi="Arial Narrow"/>
      <w:b/>
      <w:sz w:val="20"/>
    </w:rPr>
  </w:style>
  <w:style w:type="paragraph" w:styleId="BalloonText">
    <w:name w:val="Balloon Text"/>
    <w:basedOn w:val="Normal"/>
    <w:link w:val="BalloonTextChar"/>
    <w:uiPriority w:val="99"/>
    <w:semiHidden/>
    <w:unhideWhenUsed/>
    <w:rsid w:val="00762925"/>
    <w:pPr>
      <w:spacing w:before="120"/>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6292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62925"/>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762925"/>
    <w:rPr>
      <w:rFonts w:ascii="Calibri" w:eastAsia="Times New Roman" w:hAnsi="Calibri" w:cs="Times New Roman"/>
      <w:b/>
      <w:bCs/>
      <w:color w:val="000000"/>
      <w:sz w:val="20"/>
      <w:szCs w:val="20"/>
      <w:lang w:eastAsia="en-AU"/>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762925"/>
    <w:pPr>
      <w:keepNext/>
      <w:spacing w:before="360" w:after="120"/>
    </w:pPr>
    <w:rPr>
      <w:rFonts w:ascii="Arial Narrow" w:hAnsi="Arial Narrow"/>
      <w:b/>
      <w:bCs/>
      <w:sz w:val="20"/>
      <w:szCs w:val="20"/>
      <w:lang w:eastAsia="en-US"/>
    </w:rPr>
  </w:style>
  <w:style w:type="table" w:customStyle="1" w:styleId="TableGrid1">
    <w:name w:val="Table Grid1"/>
    <w:basedOn w:val="TableNormal"/>
    <w:next w:val="TableGrid"/>
    <w:locked/>
    <w:rsid w:val="00762925"/>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35"/>
    <w:rsid w:val="00762925"/>
    <w:rPr>
      <w:rFonts w:ascii="Arial Narrow" w:eastAsia="Times New Roman" w:hAnsi="Arial Narrow" w:cs="Times New Roman"/>
      <w:b/>
      <w:bCs/>
      <w:sz w:val="20"/>
      <w:szCs w:val="20"/>
    </w:rPr>
  </w:style>
  <w:style w:type="table" w:styleId="TableGrid">
    <w:name w:val="Table Grid"/>
    <w:aliases w:val="Summary box,Table Gridbeth,RTI AMCP Table,new style,ASD Table,PBAC table,HTAtableplain"/>
    <w:basedOn w:val="TableNormal"/>
    <w:uiPriority w:val="59"/>
    <w:rsid w:val="0076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762925"/>
    <w:pPr>
      <w:spacing w:before="120" w:after="360"/>
      <w:contextualSpacing/>
    </w:pPr>
    <w:rPr>
      <w:rFonts w:ascii="Franklin Gothic Book" w:eastAsiaTheme="minorHAnsi" w:hAnsi="Franklin Gothic Book" w:cstheme="minorBidi"/>
      <w:sz w:val="18"/>
      <w:szCs w:val="22"/>
      <w:lang w:eastAsia="en-US"/>
    </w:rPr>
  </w:style>
  <w:style w:type="paragraph" w:styleId="ListParagraph">
    <w:name w:val="List Paragraph"/>
    <w:basedOn w:val="Normal"/>
    <w:link w:val="ListParagraphChar"/>
    <w:uiPriority w:val="34"/>
    <w:qFormat/>
    <w:rsid w:val="00762925"/>
    <w:pPr>
      <w:spacing w:before="120" w:after="160" w:line="259" w:lineRule="auto"/>
      <w:ind w:left="720"/>
      <w:contextualSpacing/>
    </w:pPr>
    <w:rPr>
      <w:rFonts w:ascii="Franklin Gothic Book" w:eastAsiaTheme="minorHAnsi" w:hAnsi="Franklin Gothic Book" w:cstheme="minorBidi"/>
      <w:sz w:val="22"/>
      <w:szCs w:val="22"/>
      <w:lang w:eastAsia="en-US"/>
    </w:rPr>
  </w:style>
  <w:style w:type="character" w:styleId="Strong">
    <w:name w:val="Strong"/>
    <w:basedOn w:val="DefaultParagraphFont"/>
    <w:uiPriority w:val="22"/>
    <w:qFormat/>
    <w:rsid w:val="00762925"/>
    <w:rPr>
      <w:b/>
      <w:bCs/>
    </w:rPr>
  </w:style>
  <w:style w:type="paragraph" w:customStyle="1" w:styleId="TableName">
    <w:name w:val="TableName"/>
    <w:basedOn w:val="Normal"/>
    <w:qFormat/>
    <w:rsid w:val="00762925"/>
    <w:pPr>
      <w:keepNext/>
      <w:spacing w:before="120" w:after="240"/>
      <w:ind w:left="1418" w:hanging="1418"/>
    </w:pPr>
    <w:rPr>
      <w:rFonts w:ascii="Franklin Gothic Medium" w:eastAsiaTheme="minorHAnsi" w:hAnsi="Franklin Gothic Medium" w:cstheme="minorBidi"/>
      <w:sz w:val="22"/>
      <w:szCs w:val="22"/>
      <w:lang w:eastAsia="en-US"/>
    </w:rPr>
  </w:style>
  <w:style w:type="paragraph" w:customStyle="1" w:styleId="TableFigNoteHangingLast">
    <w:name w:val="TableFigNoteHanging Last"/>
    <w:basedOn w:val="TableFigNote"/>
    <w:qFormat/>
    <w:rsid w:val="00762925"/>
    <w:pPr>
      <w:ind w:left="142" w:hanging="142"/>
    </w:pPr>
  </w:style>
  <w:style w:type="paragraph" w:customStyle="1" w:styleId="TableTextCA">
    <w:name w:val="Table Text CA"/>
    <w:basedOn w:val="TableText"/>
    <w:qFormat/>
    <w:rsid w:val="00762925"/>
    <w:pPr>
      <w:jc w:val="center"/>
    </w:pPr>
  </w:style>
  <w:style w:type="paragraph" w:customStyle="1" w:styleId="TableHeadingCA">
    <w:name w:val="Table Heading CA"/>
    <w:basedOn w:val="TableHeading0"/>
    <w:qFormat/>
    <w:rsid w:val="00762925"/>
    <w:pPr>
      <w:jc w:val="center"/>
    </w:pPr>
  </w:style>
  <w:style w:type="paragraph" w:customStyle="1" w:styleId="TableHeading0">
    <w:name w:val="Table Heading"/>
    <w:basedOn w:val="Normal"/>
    <w:qFormat/>
    <w:rsid w:val="00762925"/>
    <w:pPr>
      <w:spacing w:before="120" w:after="60"/>
    </w:pPr>
    <w:rPr>
      <w:rFonts w:ascii="Arial Narrow" w:eastAsiaTheme="minorHAnsi" w:hAnsi="Arial Narrow" w:cstheme="minorBidi"/>
      <w:b/>
      <w:sz w:val="20"/>
      <w:szCs w:val="22"/>
      <w:lang w:eastAsia="en-US"/>
    </w:rPr>
  </w:style>
  <w:style w:type="paragraph" w:customStyle="1" w:styleId="TableFigNoteLast">
    <w:name w:val="TableFigNote Last"/>
    <w:basedOn w:val="TableFigNote"/>
    <w:qFormat/>
    <w:rsid w:val="00762925"/>
  </w:style>
  <w:style w:type="paragraph" w:customStyle="1" w:styleId="2ChapterText">
    <w:name w:val="2ChapterText"/>
    <w:basedOn w:val="Normal"/>
    <w:qFormat/>
    <w:rsid w:val="00762925"/>
    <w:pPr>
      <w:spacing w:before="120" w:after="160" w:line="259" w:lineRule="auto"/>
    </w:pPr>
    <w:rPr>
      <w:rFonts w:ascii="Franklin Gothic Book" w:eastAsiaTheme="minorHAnsi" w:hAnsi="Franklin Gothic Book" w:cstheme="minorBidi"/>
      <w:sz w:val="22"/>
      <w:szCs w:val="22"/>
      <w:shd w:val="clear" w:color="auto" w:fill="B4C6E7" w:themeFill="accent1" w:themeFillTint="66"/>
      <w:lang w:eastAsia="en-US"/>
    </w:rPr>
  </w:style>
  <w:style w:type="paragraph" w:customStyle="1" w:styleId="1ExplanatoryText">
    <w:name w:val="1ExplanatoryText"/>
    <w:basedOn w:val="Normal"/>
    <w:qFormat/>
    <w:rsid w:val="00762925"/>
    <w:pPr>
      <w:shd w:val="clear" w:color="auto" w:fill="C5E0B3" w:themeFill="accent6" w:themeFillTint="66"/>
      <w:spacing w:before="120" w:after="160" w:line="259" w:lineRule="auto"/>
    </w:pPr>
    <w:rPr>
      <w:rFonts w:ascii="Franklin Gothic Book" w:eastAsiaTheme="minorHAnsi" w:hAnsi="Franklin Gothic Book" w:cstheme="minorBidi"/>
      <w:sz w:val="22"/>
      <w:szCs w:val="22"/>
      <w:lang w:eastAsia="en-US"/>
    </w:rPr>
  </w:style>
  <w:style w:type="character" w:styleId="Hyperlink">
    <w:name w:val="Hyperlink"/>
    <w:basedOn w:val="DefaultParagraphFont"/>
    <w:uiPriority w:val="99"/>
    <w:unhideWhenUsed/>
    <w:rsid w:val="00762925"/>
    <w:rPr>
      <w:color w:val="0070C0"/>
      <w:u w:val="single"/>
    </w:rPr>
  </w:style>
  <w:style w:type="paragraph" w:styleId="TOC1">
    <w:name w:val="toc 1"/>
    <w:basedOn w:val="Normal"/>
    <w:next w:val="Normal"/>
    <w:autoRedefine/>
    <w:uiPriority w:val="39"/>
    <w:unhideWhenUsed/>
    <w:rsid w:val="00762925"/>
    <w:pPr>
      <w:tabs>
        <w:tab w:val="left" w:pos="1100"/>
        <w:tab w:val="left" w:pos="1531"/>
        <w:tab w:val="right" w:leader="dot" w:pos="9010"/>
      </w:tabs>
      <w:spacing w:before="120" w:after="100"/>
    </w:pPr>
    <w:rPr>
      <w:rFonts w:asciiTheme="minorHAnsi" w:eastAsiaTheme="minorHAnsi" w:hAnsiTheme="minorHAnsi" w:cstheme="minorBidi"/>
      <w:b/>
      <w:sz w:val="22"/>
      <w:szCs w:val="22"/>
      <w:lang w:eastAsia="en-US"/>
    </w:rPr>
  </w:style>
  <w:style w:type="paragraph" w:styleId="TOC2">
    <w:name w:val="toc 2"/>
    <w:basedOn w:val="Normal"/>
    <w:next w:val="Normal"/>
    <w:autoRedefine/>
    <w:uiPriority w:val="39"/>
    <w:unhideWhenUsed/>
    <w:rsid w:val="00762925"/>
    <w:pPr>
      <w:tabs>
        <w:tab w:val="left" w:pos="1089"/>
        <w:tab w:val="right" w:leader="dot" w:pos="9010"/>
      </w:tabs>
      <w:spacing w:before="120" w:after="100"/>
    </w:pPr>
    <w:rPr>
      <w:rFonts w:asciiTheme="minorHAnsi" w:eastAsiaTheme="minorHAnsi" w:hAnsiTheme="minorHAnsi" w:cstheme="minorBidi"/>
      <w:sz w:val="22"/>
      <w:szCs w:val="22"/>
      <w:lang w:eastAsia="en-US"/>
    </w:rPr>
  </w:style>
  <w:style w:type="paragraph" w:styleId="TOC3">
    <w:name w:val="toc 3"/>
    <w:basedOn w:val="Normal"/>
    <w:next w:val="Normal"/>
    <w:autoRedefine/>
    <w:uiPriority w:val="39"/>
    <w:unhideWhenUsed/>
    <w:rsid w:val="00762925"/>
    <w:pPr>
      <w:spacing w:before="120" w:after="100"/>
      <w:ind w:left="720"/>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762925"/>
    <w:rPr>
      <w:color w:val="954F72" w:themeColor="followedHyperlink"/>
      <w:u w:val="single"/>
    </w:rPr>
  </w:style>
  <w:style w:type="paragraph" w:styleId="TOC9">
    <w:name w:val="toc 9"/>
    <w:basedOn w:val="Normal"/>
    <w:next w:val="Normal"/>
    <w:autoRedefine/>
    <w:uiPriority w:val="39"/>
    <w:unhideWhenUsed/>
    <w:rsid w:val="00762925"/>
    <w:pPr>
      <w:spacing w:before="120" w:after="100" w:line="259" w:lineRule="auto"/>
      <w:ind w:left="1760"/>
    </w:pPr>
    <w:rPr>
      <w:rFonts w:ascii="Franklin Gothic Book" w:eastAsiaTheme="minorHAnsi" w:hAnsi="Franklin Gothic Book" w:cstheme="minorBidi"/>
      <w:sz w:val="22"/>
      <w:szCs w:val="22"/>
      <w:lang w:eastAsia="en-US"/>
    </w:rPr>
  </w:style>
  <w:style w:type="paragraph" w:styleId="Date">
    <w:name w:val="Date"/>
    <w:basedOn w:val="Normal"/>
    <w:next w:val="Normal"/>
    <w:link w:val="DateChar"/>
    <w:rsid w:val="00762925"/>
    <w:pPr>
      <w:spacing w:before="1134" w:after="800" w:line="259" w:lineRule="auto"/>
      <w:ind w:left="4536"/>
    </w:pPr>
    <w:rPr>
      <w:rFonts w:ascii="Arial" w:hAnsi="Arial" w:cs="Tahoma"/>
      <w:b/>
      <w:sz w:val="36"/>
      <w:szCs w:val="22"/>
      <w:lang w:eastAsia="en-AU"/>
    </w:rPr>
  </w:style>
  <w:style w:type="character" w:customStyle="1" w:styleId="DateChar">
    <w:name w:val="Date Char"/>
    <w:basedOn w:val="DefaultParagraphFont"/>
    <w:link w:val="Date"/>
    <w:rsid w:val="00762925"/>
    <w:rPr>
      <w:rFonts w:ascii="Arial" w:eastAsia="Times New Roman" w:hAnsi="Arial" w:cs="Tahoma"/>
      <w:b/>
      <w:sz w:val="36"/>
      <w:lang w:eastAsia="en-AU"/>
    </w:rPr>
  </w:style>
  <w:style w:type="paragraph" w:customStyle="1" w:styleId="PublicationTitle">
    <w:name w:val="PublicationTitle"/>
    <w:basedOn w:val="Normal"/>
    <w:rsid w:val="00762925"/>
    <w:pPr>
      <w:tabs>
        <w:tab w:val="left" w:pos="4536"/>
      </w:tabs>
      <w:spacing w:before="4536" w:after="800" w:line="480" w:lineRule="exact"/>
      <w:ind w:left="4536" w:right="113"/>
      <w:jc w:val="right"/>
    </w:pPr>
    <w:rPr>
      <w:rFonts w:ascii="Arial" w:hAnsi="Arial" w:cs="Tahoma"/>
      <w:b/>
      <w:i/>
      <w:sz w:val="44"/>
      <w:szCs w:val="22"/>
      <w:lang w:eastAsia="en-AU"/>
    </w:rPr>
  </w:style>
  <w:style w:type="paragraph" w:customStyle="1" w:styleId="Sub-title">
    <w:name w:val="Sub-title"/>
    <w:basedOn w:val="Normal"/>
    <w:locked/>
    <w:rsid w:val="00762925"/>
    <w:pPr>
      <w:spacing w:before="1701" w:after="160" w:line="259" w:lineRule="auto"/>
      <w:ind w:left="4536"/>
    </w:pPr>
    <w:rPr>
      <w:rFonts w:ascii="Arial" w:hAnsi="Arial" w:cs="Tahoma"/>
      <w:b/>
      <w:sz w:val="32"/>
      <w:szCs w:val="22"/>
      <w:lang w:eastAsia="en-AU"/>
    </w:rPr>
  </w:style>
  <w:style w:type="paragraph" w:customStyle="1" w:styleId="Nnumberedlist">
    <w:name w:val="Nnumbered list"/>
    <w:basedOn w:val="Normal"/>
    <w:rsid w:val="00762925"/>
    <w:pPr>
      <w:numPr>
        <w:numId w:val="2"/>
      </w:numPr>
      <w:spacing w:before="120" w:after="160" w:line="259" w:lineRule="auto"/>
      <w:jc w:val="both"/>
    </w:pPr>
    <w:rPr>
      <w:rFonts w:ascii="Calibri" w:hAnsi="Calibri" w:cs="Tahoma"/>
      <w:sz w:val="22"/>
      <w:szCs w:val="22"/>
      <w:lang w:eastAsia="en-AU"/>
    </w:rPr>
  </w:style>
  <w:style w:type="paragraph" w:styleId="TOCHeading">
    <w:name w:val="TOC Heading"/>
    <w:basedOn w:val="Heading1"/>
    <w:next w:val="Normal"/>
    <w:uiPriority w:val="39"/>
    <w:unhideWhenUsed/>
    <w:qFormat/>
    <w:rsid w:val="00762925"/>
    <w:pPr>
      <w:numPr>
        <w:numId w:val="0"/>
      </w:numPr>
      <w:pBdr>
        <w:bottom w:val="none" w:sz="0" w:space="0" w:color="auto"/>
      </w:pBdr>
      <w:spacing w:before="240" w:after="0" w:line="259" w:lineRule="auto"/>
      <w:outlineLvl w:val="9"/>
    </w:pPr>
    <w:rPr>
      <w:rFonts w:asciiTheme="majorHAnsi" w:hAnsiTheme="majorHAnsi"/>
      <w:color w:val="2F5496" w:themeColor="accent1" w:themeShade="BF"/>
      <w:sz w:val="32"/>
      <w:lang w:val="en-US"/>
    </w:rPr>
  </w:style>
  <w:style w:type="paragraph" w:styleId="TOC4">
    <w:name w:val="toc 4"/>
    <w:basedOn w:val="Normal"/>
    <w:next w:val="Normal"/>
    <w:autoRedefine/>
    <w:uiPriority w:val="39"/>
    <w:unhideWhenUsed/>
    <w:rsid w:val="00762925"/>
    <w:pPr>
      <w:spacing w:before="120"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762925"/>
    <w:pPr>
      <w:spacing w:before="120"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762925"/>
    <w:pPr>
      <w:spacing w:before="120"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762925"/>
    <w:pPr>
      <w:spacing w:before="120"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762925"/>
    <w:pPr>
      <w:spacing w:before="120" w:after="100" w:line="259" w:lineRule="auto"/>
      <w:ind w:left="1540"/>
    </w:pPr>
    <w:rPr>
      <w:rFonts w:asciiTheme="minorHAnsi" w:eastAsiaTheme="minorEastAsia" w:hAnsiTheme="minorHAnsi" w:cstheme="minorBidi"/>
      <w:sz w:val="22"/>
      <w:szCs w:val="22"/>
      <w:lang w:eastAsia="en-AU"/>
    </w:rPr>
  </w:style>
  <w:style w:type="paragraph" w:customStyle="1" w:styleId="In-tableHeading">
    <w:name w:val="In-table Heading"/>
    <w:qFormat/>
    <w:rsid w:val="00762925"/>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762925"/>
    <w:pPr>
      <w:tabs>
        <w:tab w:val="left" w:pos="284"/>
      </w:tabs>
      <w:spacing w:before="120" w:after="360"/>
    </w:pPr>
    <w:rPr>
      <w:rFonts w:ascii="Arial Narrow" w:hAnsi="Arial Narrow" w:cs="Arial"/>
      <w:snapToGrid w:val="0"/>
      <w:sz w:val="18"/>
      <w:szCs w:val="22"/>
      <w:lang w:eastAsia="en-AU"/>
    </w:rPr>
  </w:style>
  <w:style w:type="character" w:customStyle="1" w:styleId="TableFigureFooterChar">
    <w:name w:val="Table/Figure Footer Char"/>
    <w:link w:val="TableFigureFooter"/>
    <w:rsid w:val="00762925"/>
    <w:rPr>
      <w:rFonts w:ascii="Arial Narrow" w:eastAsia="Times New Roman" w:hAnsi="Arial Narrow" w:cs="Arial"/>
      <w:snapToGrid w:val="0"/>
      <w:sz w:val="18"/>
      <w:lang w:eastAsia="en-AU"/>
    </w:rPr>
  </w:style>
  <w:style w:type="character" w:styleId="Emphasis">
    <w:name w:val="Emphasis"/>
    <w:uiPriority w:val="20"/>
    <w:qFormat/>
    <w:rsid w:val="00762925"/>
    <w:rPr>
      <w:i/>
      <w:iCs/>
    </w:rPr>
  </w:style>
  <w:style w:type="paragraph" w:styleId="Header">
    <w:name w:val="header"/>
    <w:basedOn w:val="Normal"/>
    <w:link w:val="HeaderChar"/>
    <w:uiPriority w:val="99"/>
    <w:unhideWhenUsed/>
    <w:rsid w:val="00762925"/>
    <w:pPr>
      <w:tabs>
        <w:tab w:val="center" w:pos="4513"/>
        <w:tab w:val="right" w:pos="9026"/>
      </w:tabs>
      <w:spacing w:before="120"/>
    </w:pPr>
    <w:rPr>
      <w:rFonts w:ascii="Franklin Gothic Book" w:eastAsiaTheme="minorHAnsi" w:hAnsi="Franklin Gothic Book" w:cstheme="minorBidi"/>
      <w:sz w:val="22"/>
      <w:szCs w:val="22"/>
      <w:lang w:eastAsia="en-US"/>
    </w:rPr>
  </w:style>
  <w:style w:type="character" w:customStyle="1" w:styleId="HeaderChar">
    <w:name w:val="Header Char"/>
    <w:basedOn w:val="DefaultParagraphFont"/>
    <w:link w:val="Header"/>
    <w:uiPriority w:val="99"/>
    <w:rsid w:val="00762925"/>
    <w:rPr>
      <w:rFonts w:ascii="Franklin Gothic Book" w:hAnsi="Franklin Gothic Book"/>
    </w:rPr>
  </w:style>
  <w:style w:type="paragraph" w:styleId="Footer">
    <w:name w:val="footer"/>
    <w:basedOn w:val="Normal"/>
    <w:link w:val="FooterChar"/>
    <w:uiPriority w:val="99"/>
    <w:unhideWhenUsed/>
    <w:rsid w:val="00762925"/>
    <w:pPr>
      <w:tabs>
        <w:tab w:val="center" w:pos="4513"/>
        <w:tab w:val="right" w:pos="9026"/>
      </w:tabs>
      <w:spacing w:before="120"/>
    </w:pPr>
    <w:rPr>
      <w:rFonts w:ascii="Franklin Gothic Book" w:eastAsiaTheme="minorHAnsi" w:hAnsi="Franklin Gothic Book" w:cstheme="minorBidi"/>
      <w:sz w:val="22"/>
      <w:szCs w:val="22"/>
      <w:lang w:eastAsia="en-US"/>
    </w:rPr>
  </w:style>
  <w:style w:type="character" w:customStyle="1" w:styleId="FooterChar">
    <w:name w:val="Footer Char"/>
    <w:basedOn w:val="DefaultParagraphFont"/>
    <w:link w:val="Footer"/>
    <w:uiPriority w:val="99"/>
    <w:rsid w:val="00762925"/>
    <w:rPr>
      <w:rFonts w:ascii="Franklin Gothic Book" w:hAnsi="Franklin Gothic Book"/>
    </w:rPr>
  </w:style>
  <w:style w:type="paragraph" w:customStyle="1" w:styleId="Tablenotes">
    <w:name w:val="Tablenotes"/>
    <w:basedOn w:val="Normal"/>
    <w:link w:val="TablenotesChar"/>
    <w:qFormat/>
    <w:rsid w:val="00762925"/>
    <w:pPr>
      <w:widowControl w:val="0"/>
      <w:spacing w:before="120" w:after="120"/>
      <w:contextualSpacing/>
    </w:pPr>
    <w:rPr>
      <w:rFonts w:ascii="Arial Narrow" w:hAnsi="Arial Narrow" w:cs="Arial"/>
      <w:snapToGrid w:val="0"/>
      <w:sz w:val="18"/>
      <w:szCs w:val="20"/>
      <w:lang w:eastAsia="en-US"/>
    </w:rPr>
  </w:style>
  <w:style w:type="character" w:customStyle="1" w:styleId="TablenotesChar">
    <w:name w:val="Tablenotes Char"/>
    <w:basedOn w:val="DefaultParagraphFont"/>
    <w:link w:val="Tablenotes"/>
    <w:rsid w:val="00762925"/>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762925"/>
    <w:rPr>
      <w:rFonts w:ascii="Franklin Gothic Book" w:hAnsi="Franklin Gothic Book"/>
    </w:rPr>
  </w:style>
  <w:style w:type="table" w:customStyle="1" w:styleId="TableGridLight1">
    <w:name w:val="Table Grid Light1"/>
    <w:basedOn w:val="TableNormal"/>
    <w:uiPriority w:val="40"/>
    <w:rsid w:val="00762925"/>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762925"/>
    <w:pPr>
      <w:numPr>
        <w:numId w:val="3"/>
      </w:numPr>
      <w:spacing w:before="120" w:after="120"/>
    </w:pPr>
    <w:rPr>
      <w:rFonts w:asciiTheme="minorHAnsi" w:eastAsiaTheme="minorHAnsi" w:hAnsiTheme="minorHAnsi" w:cstheme="minorBidi"/>
      <w:sz w:val="22"/>
      <w:szCs w:val="22"/>
      <w:lang w:eastAsia="en-US"/>
    </w:rPr>
  </w:style>
  <w:style w:type="paragraph" w:customStyle="1" w:styleId="TableFigureHeading">
    <w:name w:val="Table/Figure Heading"/>
    <w:next w:val="In-tableHeading"/>
    <w:link w:val="TableFigureHeadingChar"/>
    <w:qFormat/>
    <w:rsid w:val="0076292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76292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762925"/>
    <w:pPr>
      <w:spacing w:before="40" w:after="40"/>
      <w:jc w:val="both"/>
    </w:pPr>
    <w:rPr>
      <w:rFonts w:ascii="Arial Narrow" w:hAnsi="Arial Narrow" w:cs="Tahoma"/>
      <w:sz w:val="20"/>
      <w:szCs w:val="20"/>
      <w:lang w:eastAsia="en-AU"/>
    </w:rPr>
  </w:style>
  <w:style w:type="character" w:customStyle="1" w:styleId="TabletextChar0">
    <w:name w:val="Table text Char"/>
    <w:link w:val="Tabletext0"/>
    <w:rsid w:val="00762925"/>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762925"/>
    <w:pPr>
      <w:spacing w:before="120" w:after="240" w:line="259" w:lineRule="auto"/>
      <w:contextualSpacing/>
      <w:jc w:val="both"/>
    </w:pPr>
    <w:rPr>
      <w:rFonts w:ascii="Arial Narrow" w:eastAsiaTheme="minorHAnsi" w:hAnsi="Arial Narrow" w:cs="Arial"/>
      <w:sz w:val="18"/>
      <w:szCs w:val="22"/>
      <w:lang w:eastAsia="en-US"/>
    </w:rPr>
  </w:style>
  <w:style w:type="character" w:customStyle="1" w:styleId="TablenotesChar0">
    <w:name w:val="Table notes Char"/>
    <w:basedOn w:val="DefaultParagraphFont"/>
    <w:link w:val="Tablenotes0"/>
    <w:rsid w:val="00762925"/>
    <w:rPr>
      <w:rFonts w:ascii="Arial Narrow" w:hAnsi="Arial Narrow" w:cs="Arial"/>
      <w:sz w:val="18"/>
    </w:rPr>
  </w:style>
  <w:style w:type="numbering" w:customStyle="1" w:styleId="ESSectionheading-numbered">
    <w:name w:val="ES. Section heading - numbered"/>
    <w:uiPriority w:val="99"/>
    <w:rsid w:val="00762925"/>
    <w:pPr>
      <w:numPr>
        <w:numId w:val="4"/>
      </w:numPr>
    </w:pPr>
  </w:style>
  <w:style w:type="paragraph" w:customStyle="1" w:styleId="2-SectionHeading">
    <w:name w:val="2-Section Heading"/>
    <w:qFormat/>
    <w:rsid w:val="00762925"/>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762925"/>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762925"/>
    <w:pPr>
      <w:pBdr>
        <w:top w:val="single" w:sz="4" w:space="4" w:color="auto"/>
        <w:left w:val="single" w:sz="4" w:space="4" w:color="auto"/>
        <w:bottom w:val="single" w:sz="4" w:space="4" w:color="auto"/>
        <w:right w:val="single" w:sz="4" w:space="4" w:color="auto"/>
      </w:pBdr>
      <w:spacing w:before="120" w:after="120"/>
    </w:pPr>
    <w:rPr>
      <w:rFonts w:ascii="Franklin Gothic Medium" w:eastAsiaTheme="minorHAnsi" w:hAnsi="Franklin Gothic Medium" w:cstheme="minorBidi"/>
      <w:sz w:val="21"/>
      <w:szCs w:val="22"/>
      <w:lang w:eastAsia="en-US"/>
    </w:rPr>
  </w:style>
  <w:style w:type="character" w:customStyle="1" w:styleId="InstructionBulletpointChar">
    <w:name w:val="Instruction Bullet point Char"/>
    <w:basedOn w:val="DefaultParagraphFont"/>
    <w:link w:val="InstructionBulletpoint"/>
    <w:uiPriority w:val="3"/>
    <w:locked/>
    <w:rsid w:val="00762925"/>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762925"/>
    <w:pPr>
      <w:numPr>
        <w:numId w:val="6"/>
      </w:numPr>
      <w:spacing w:before="120" w:after="120"/>
      <w:ind w:left="714" w:hanging="357"/>
    </w:pPr>
    <w:rPr>
      <w:rFonts w:ascii="Calibri" w:eastAsiaTheme="minorHAnsi" w:hAnsi="Calibri" w:cs="Calibri"/>
      <w:color w:val="0070C0"/>
      <w:szCs w:val="22"/>
      <w:lang w:eastAsia="en-US"/>
    </w:rPr>
  </w:style>
  <w:style w:type="character" w:customStyle="1" w:styleId="TableFooterChar">
    <w:name w:val="Table Footer Char"/>
    <w:link w:val="TableFooter"/>
    <w:locked/>
    <w:rsid w:val="00762925"/>
    <w:rPr>
      <w:rFonts w:ascii="Arial Narrow" w:eastAsia="Times New Roman" w:hAnsi="Arial Narrow" w:cs="Arial"/>
      <w:sz w:val="18"/>
      <w:szCs w:val="20"/>
    </w:rPr>
  </w:style>
  <w:style w:type="paragraph" w:customStyle="1" w:styleId="TableFooter">
    <w:name w:val="Table Footer"/>
    <w:basedOn w:val="Normal"/>
    <w:link w:val="TableFooterChar"/>
    <w:qFormat/>
    <w:rsid w:val="00762925"/>
    <w:pPr>
      <w:widowControl w:val="0"/>
      <w:snapToGrid w:val="0"/>
      <w:spacing w:before="120" w:after="240"/>
      <w:contextualSpacing/>
      <w:jc w:val="both"/>
    </w:pPr>
    <w:rPr>
      <w:rFonts w:ascii="Arial Narrow" w:hAnsi="Arial Narrow" w:cs="Arial"/>
      <w:sz w:val="18"/>
      <w:szCs w:val="20"/>
      <w:lang w:eastAsia="en-US"/>
    </w:rPr>
  </w:style>
  <w:style w:type="table" w:customStyle="1" w:styleId="PBACTableStyle">
    <w:name w:val="PBAC Table Style"/>
    <w:basedOn w:val="TableGrid10"/>
    <w:uiPriority w:val="99"/>
    <w:rsid w:val="00762925"/>
    <w:pPr>
      <w:widowControl w:val="0"/>
      <w:spacing w:before="120" w:after="0" w:line="240" w:lineRule="auto"/>
      <w:contextualSpacing/>
      <w:jc w:val="center"/>
    </w:pPr>
    <w:rPr>
      <w:rFonts w:ascii="Arial Narrow" w:hAnsi="Arial Narrow"/>
      <w:color w:val="000000" w:themeColor="text1"/>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Franklin Gothic Book" w:hAnsi="Franklin Gothic Book"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Franklin Gothic Book" w:hAnsi="Franklin Gothic Book"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Franklin Gothic Book" w:hAnsi="Franklin Gothic Book"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6292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762925"/>
    <w:rPr>
      <w:rFonts w:ascii="Times New Roman" w:hAnsi="Times New Roman" w:cs="Times New Roman"/>
      <w:sz w:val="24"/>
    </w:rPr>
  </w:style>
  <w:style w:type="paragraph" w:customStyle="1" w:styleId="MSACESParagraph">
    <w:name w:val="MSAC ES Paragraph"/>
    <w:link w:val="MSACESParagraphChar"/>
    <w:uiPriority w:val="1"/>
    <w:qFormat/>
    <w:rsid w:val="00762925"/>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762925"/>
    <w:pPr>
      <w:spacing w:before="120"/>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762925"/>
    <w:rPr>
      <w:sz w:val="18"/>
      <w:szCs w:val="20"/>
    </w:rPr>
  </w:style>
  <w:style w:type="character" w:styleId="FootnoteReference">
    <w:name w:val="footnote reference"/>
    <w:basedOn w:val="DefaultParagraphFont"/>
    <w:unhideWhenUsed/>
    <w:rsid w:val="00762925"/>
    <w:rPr>
      <w:vertAlign w:val="superscript"/>
    </w:rPr>
  </w:style>
  <w:style w:type="paragraph" w:customStyle="1" w:styleId="TableFigNoteHanging">
    <w:name w:val="TableFigNoteHanging"/>
    <w:basedOn w:val="TableFigNoteHangingLast"/>
    <w:qFormat/>
    <w:rsid w:val="00762925"/>
    <w:pPr>
      <w:spacing w:after="0"/>
      <w:contextualSpacing w:val="0"/>
    </w:pPr>
    <w:rPr>
      <w:rFonts w:asciiTheme="minorHAnsi" w:hAnsiTheme="minorHAnsi"/>
    </w:rPr>
  </w:style>
  <w:style w:type="table" w:customStyle="1" w:styleId="TableGrid2">
    <w:name w:val="Table Grid2"/>
    <w:basedOn w:val="TableNormal"/>
    <w:next w:val="TableGrid"/>
    <w:uiPriority w:val="59"/>
    <w:rsid w:val="00762925"/>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762925"/>
    <w:pPr>
      <w:spacing w:before="120" w:after="100" w:afterAutospacing="1" w:line="259" w:lineRule="auto"/>
      <w:jc w:val="both"/>
    </w:pPr>
    <w:rPr>
      <w:rFonts w:ascii="Arial Narrow" w:hAnsi="Arial Narrow" w:cs="Tahoma"/>
      <w:b/>
      <w:sz w:val="22"/>
      <w:szCs w:val="22"/>
      <w:lang w:eastAsia="en-AU"/>
    </w:rPr>
  </w:style>
  <w:style w:type="paragraph" w:customStyle="1" w:styleId="TableText1">
    <w:name w:val="TableText"/>
    <w:basedOn w:val="Normal"/>
    <w:link w:val="TableTextChar1"/>
    <w:rsid w:val="00762925"/>
    <w:pPr>
      <w:keepNext/>
      <w:spacing w:before="40" w:after="40" w:line="259" w:lineRule="auto"/>
      <w:jc w:val="both"/>
    </w:pPr>
    <w:rPr>
      <w:rFonts w:ascii="Arial Narrow" w:hAnsi="Arial Narrow" w:cs="Tahoma"/>
      <w:sz w:val="18"/>
      <w:szCs w:val="22"/>
      <w:lang w:eastAsia="en-AU"/>
    </w:rPr>
  </w:style>
  <w:style w:type="character" w:customStyle="1" w:styleId="TableTextChar1">
    <w:name w:val="TableText Char"/>
    <w:link w:val="TableText1"/>
    <w:rsid w:val="00762925"/>
    <w:rPr>
      <w:rFonts w:ascii="Arial Narrow" w:eastAsia="Times New Roman" w:hAnsi="Arial Narrow" w:cs="Tahoma"/>
      <w:sz w:val="18"/>
      <w:lang w:eastAsia="en-AU"/>
    </w:rPr>
  </w:style>
  <w:style w:type="paragraph" w:customStyle="1" w:styleId="References">
    <w:name w:val="References"/>
    <w:basedOn w:val="Normal"/>
    <w:rsid w:val="00762925"/>
    <w:pPr>
      <w:keepLines/>
      <w:spacing w:before="120" w:after="240" w:line="312" w:lineRule="auto"/>
      <w:ind w:left="1440" w:hanging="720"/>
    </w:pPr>
    <w:rPr>
      <w:rFonts w:ascii="Calibri" w:hAnsi="Calibri" w:cs="Tahoma"/>
      <w:sz w:val="22"/>
      <w:szCs w:val="22"/>
      <w:lang w:eastAsia="en-AU"/>
    </w:rPr>
  </w:style>
  <w:style w:type="paragraph" w:styleId="Title">
    <w:name w:val="Title"/>
    <w:basedOn w:val="Normal"/>
    <w:next w:val="Normal"/>
    <w:link w:val="TitleChar"/>
    <w:qFormat/>
    <w:rsid w:val="00762925"/>
    <w:pPr>
      <w:spacing w:before="480" w:after="240"/>
      <w:jc w:val="center"/>
    </w:pPr>
    <w:rPr>
      <w:rFonts w:ascii="Arial" w:hAnsi="Arial" w:cs="Arial"/>
      <w:b/>
      <w:bCs/>
      <w:color w:val="000080"/>
      <w:sz w:val="36"/>
      <w:szCs w:val="36"/>
      <w:lang w:eastAsia="en-AU"/>
    </w:rPr>
  </w:style>
  <w:style w:type="character" w:customStyle="1" w:styleId="TitleChar">
    <w:name w:val="Title Char"/>
    <w:basedOn w:val="DefaultParagraphFont"/>
    <w:link w:val="Title"/>
    <w:rsid w:val="00762925"/>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62925"/>
    <w:pPr>
      <w:spacing w:before="120" w:after="240"/>
      <w:jc w:val="center"/>
    </w:pPr>
    <w:rPr>
      <w:rFonts w:ascii="Arial" w:hAnsi="Arial" w:cs="Arial"/>
      <w:b/>
      <w:bCs/>
      <w:i/>
      <w:color w:val="000080"/>
      <w:sz w:val="28"/>
      <w:szCs w:val="28"/>
      <w:lang w:eastAsia="en-AU"/>
    </w:rPr>
  </w:style>
  <w:style w:type="character" w:customStyle="1" w:styleId="SubtitleChar">
    <w:name w:val="Subtitle Char"/>
    <w:basedOn w:val="DefaultParagraphFont"/>
    <w:link w:val="Subtitle"/>
    <w:rsid w:val="00762925"/>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762925"/>
    <w:pPr>
      <w:numPr>
        <w:ilvl w:val="0"/>
        <w:numId w:val="7"/>
      </w:numPr>
      <w:spacing w:before="240"/>
      <w:ind w:left="2154" w:hanging="357"/>
    </w:pPr>
  </w:style>
  <w:style w:type="paragraph" w:customStyle="1" w:styleId="NormalBeforeBullet">
    <w:name w:val="Normal Before Bullet"/>
    <w:basedOn w:val="Normal"/>
    <w:qFormat/>
    <w:rsid w:val="00762925"/>
    <w:pPr>
      <w:keepNext/>
      <w:spacing w:before="120" w:after="120"/>
    </w:pPr>
    <w:rPr>
      <w:rFonts w:asciiTheme="minorHAnsi" w:eastAsiaTheme="minorHAnsi" w:hAnsiTheme="minorHAnsi" w:cstheme="minorBidi"/>
      <w:sz w:val="22"/>
      <w:szCs w:val="22"/>
      <w:lang w:eastAsia="en-US"/>
    </w:rPr>
  </w:style>
  <w:style w:type="paragraph" w:customStyle="1" w:styleId="Dash">
    <w:name w:val="Dash"/>
    <w:basedOn w:val="Bullet"/>
    <w:qFormat/>
    <w:rsid w:val="00762925"/>
    <w:pPr>
      <w:numPr>
        <w:numId w:val="8"/>
      </w:numPr>
      <w:spacing w:after="40"/>
      <w:ind w:left="714" w:hanging="357"/>
    </w:pPr>
  </w:style>
  <w:style w:type="paragraph" w:customStyle="1" w:styleId="Instructionaltext">
    <w:name w:val="Instructional text"/>
    <w:basedOn w:val="Normal"/>
    <w:link w:val="InstructionaltextChar"/>
    <w:qFormat/>
    <w:rsid w:val="00762925"/>
    <w:pPr>
      <w:spacing w:before="120" w:after="160" w:line="259" w:lineRule="auto"/>
    </w:pPr>
    <w:rPr>
      <w:rFonts w:ascii="Franklin Gothic Book" w:eastAsiaTheme="minorHAnsi" w:hAnsi="Franklin Gothic Book" w:cstheme="minorBidi"/>
      <w:color w:val="258221"/>
      <w:sz w:val="22"/>
      <w:szCs w:val="22"/>
      <w:lang w:eastAsia="en-US"/>
    </w:rPr>
  </w:style>
  <w:style w:type="character" w:customStyle="1" w:styleId="UnresolvedMention1">
    <w:name w:val="Unresolved Mention1"/>
    <w:basedOn w:val="DefaultParagraphFont"/>
    <w:uiPriority w:val="99"/>
    <w:semiHidden/>
    <w:unhideWhenUsed/>
    <w:rsid w:val="00762925"/>
    <w:rPr>
      <w:color w:val="605E5C"/>
      <w:shd w:val="clear" w:color="auto" w:fill="E1DFDD"/>
    </w:rPr>
  </w:style>
  <w:style w:type="character" w:customStyle="1" w:styleId="InstructionaltextChar">
    <w:name w:val="Instructional text Char"/>
    <w:basedOn w:val="DefaultParagraphFont"/>
    <w:link w:val="Instructionaltext"/>
    <w:rsid w:val="00762925"/>
    <w:rPr>
      <w:rFonts w:ascii="Franklin Gothic Book" w:hAnsi="Franklin Gothic Book"/>
      <w:color w:val="258221"/>
    </w:rPr>
  </w:style>
  <w:style w:type="paragraph" w:customStyle="1" w:styleId="Instructionaltext-bullet">
    <w:name w:val="Instructional text - bullet"/>
    <w:basedOn w:val="Instructionaltext"/>
    <w:qFormat/>
    <w:rsid w:val="00762925"/>
    <w:pPr>
      <w:numPr>
        <w:numId w:val="9"/>
      </w:numPr>
      <w:spacing w:before="0" w:after="0"/>
    </w:pPr>
  </w:style>
  <w:style w:type="paragraph" w:customStyle="1" w:styleId="Instructionaltext-afterfiguretable">
    <w:name w:val="Instructional text - after figure/table"/>
    <w:basedOn w:val="Instructionaltext"/>
    <w:qFormat/>
    <w:rsid w:val="00762925"/>
    <w:pPr>
      <w:spacing w:before="360"/>
    </w:pPr>
  </w:style>
  <w:style w:type="paragraph" w:customStyle="1" w:styleId="Guidelinescross-ref">
    <w:name w:val="Guidelines cross-ref"/>
    <w:basedOn w:val="Normal"/>
    <w:qFormat/>
    <w:rsid w:val="00762925"/>
    <w:pPr>
      <w:spacing w:before="240" w:after="240" w:line="259" w:lineRule="auto"/>
    </w:pPr>
    <w:rPr>
      <w:rFonts w:ascii="Franklin Gothic Book" w:eastAsiaTheme="minorHAnsi" w:hAnsi="Franklin Gothic Book" w:cstheme="minorBidi"/>
      <w:b/>
      <w:color w:val="0070C0"/>
      <w:szCs w:val="22"/>
      <w:lang w:eastAsia="en-US"/>
    </w:rPr>
  </w:style>
  <w:style w:type="paragraph" w:styleId="Revision">
    <w:name w:val="Revision"/>
    <w:hidden/>
    <w:uiPriority w:val="99"/>
    <w:semiHidden/>
    <w:rsid w:val="00762925"/>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762925"/>
    <w:rPr>
      <w:color w:val="605E5C"/>
      <w:shd w:val="clear" w:color="auto" w:fill="E1DFDD"/>
    </w:rPr>
  </w:style>
  <w:style w:type="character" w:styleId="UnresolvedMention">
    <w:name w:val="Unresolved Mention"/>
    <w:basedOn w:val="DefaultParagraphFont"/>
    <w:uiPriority w:val="99"/>
    <w:semiHidden/>
    <w:unhideWhenUsed/>
    <w:rsid w:val="00762925"/>
    <w:rPr>
      <w:color w:val="605E5C"/>
      <w:shd w:val="clear" w:color="auto" w:fill="E1DFDD"/>
    </w:rPr>
  </w:style>
  <w:style w:type="paragraph" w:styleId="NormalWeb">
    <w:name w:val="Normal (Web)"/>
    <w:basedOn w:val="Normal"/>
    <w:uiPriority w:val="99"/>
    <w:unhideWhenUsed/>
    <w:rsid w:val="00762925"/>
    <w:pPr>
      <w:spacing w:before="100" w:beforeAutospacing="1" w:after="100" w:afterAutospacing="1"/>
    </w:pPr>
  </w:style>
  <w:style w:type="character" w:customStyle="1" w:styleId="apple-converted-space">
    <w:name w:val="apple-converted-space"/>
    <w:basedOn w:val="DefaultParagraphFont"/>
    <w:rsid w:val="00762925"/>
  </w:style>
  <w:style w:type="paragraph" w:customStyle="1" w:styleId="Style1">
    <w:name w:val="Style1"/>
    <w:basedOn w:val="Heading2"/>
    <w:qFormat/>
    <w:rsid w:val="00762925"/>
    <w:pPr>
      <w:numPr>
        <w:ilvl w:val="0"/>
        <w:numId w:val="0"/>
      </w:numPr>
    </w:pPr>
  </w:style>
  <w:style w:type="paragraph" w:styleId="EndnoteText">
    <w:name w:val="endnote text"/>
    <w:basedOn w:val="Normal"/>
    <w:link w:val="EndnoteTextChar"/>
    <w:uiPriority w:val="99"/>
    <w:semiHidden/>
    <w:unhideWhenUsed/>
    <w:rsid w:val="00762925"/>
    <w:rPr>
      <w:sz w:val="20"/>
      <w:szCs w:val="20"/>
    </w:rPr>
  </w:style>
  <w:style w:type="character" w:customStyle="1" w:styleId="EndnoteTextChar">
    <w:name w:val="Endnote Text Char"/>
    <w:basedOn w:val="DefaultParagraphFont"/>
    <w:link w:val="EndnoteText"/>
    <w:uiPriority w:val="99"/>
    <w:semiHidden/>
    <w:rsid w:val="00762925"/>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62925"/>
    <w:rPr>
      <w:vertAlign w:val="superscript"/>
    </w:rPr>
  </w:style>
  <w:style w:type="table" w:styleId="PlainTable2">
    <w:name w:val="Plain Table 2"/>
    <w:basedOn w:val="TableNormal"/>
    <w:uiPriority w:val="42"/>
    <w:rsid w:val="007629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762925"/>
    <w:pPr>
      <w:spacing w:before="120" w:after="120"/>
    </w:pPr>
    <w:rPr>
      <w:rFonts w:ascii="Calibri" w:eastAsiaTheme="minorHAnsi" w:hAnsi="Calibri" w:cs="Calibri"/>
      <w:noProof/>
      <w:sz w:val="20"/>
      <w:szCs w:val="22"/>
      <w:lang w:val="en-US" w:eastAsia="en-US"/>
    </w:rPr>
  </w:style>
  <w:style w:type="character" w:customStyle="1" w:styleId="EndNoteBibliographyChar">
    <w:name w:val="EndNote Bibliography Char"/>
    <w:basedOn w:val="DefaultParagraphFont"/>
    <w:link w:val="EndNoteBibliography"/>
    <w:rsid w:val="00762925"/>
    <w:rPr>
      <w:rFonts w:ascii="Calibri" w:hAnsi="Calibri" w:cs="Calibri"/>
      <w:noProof/>
      <w:sz w:val="20"/>
      <w:lang w:val="en-US"/>
    </w:rPr>
  </w:style>
  <w:style w:type="paragraph" w:customStyle="1" w:styleId="Style2">
    <w:name w:val="Style2"/>
    <w:basedOn w:val="Heading2"/>
    <w:qFormat/>
    <w:rsid w:val="00762925"/>
    <w:pPr>
      <w:ind w:left="357" w:hanging="357"/>
    </w:pPr>
  </w:style>
  <w:style w:type="paragraph" w:customStyle="1" w:styleId="5Bodytext">
    <w:name w:val="5. Body text"/>
    <w:basedOn w:val="ListParagraph"/>
    <w:link w:val="5BodytextChar"/>
    <w:qFormat/>
    <w:rsid w:val="001315CE"/>
    <w:pPr>
      <w:autoSpaceDE w:val="0"/>
      <w:autoSpaceDN w:val="0"/>
      <w:adjustRightInd w:val="0"/>
      <w:spacing w:before="0" w:after="240" w:line="240" w:lineRule="auto"/>
      <w:ind w:left="0"/>
      <w:contextualSpacing w:val="0"/>
    </w:pPr>
    <w:rPr>
      <w:rFonts w:ascii="Tms Rmn" w:eastAsia="Times New Roman" w:hAnsi="Tms Rmn" w:cs="Times New Roman"/>
      <w:sz w:val="24"/>
      <w:szCs w:val="24"/>
      <w:lang w:eastAsia="en-AU"/>
    </w:rPr>
  </w:style>
  <w:style w:type="character" w:customStyle="1" w:styleId="5BodytextChar">
    <w:name w:val="5. Body text Char"/>
    <w:basedOn w:val="DefaultParagraphFont"/>
    <w:link w:val="5Bodytext"/>
    <w:rsid w:val="001315CE"/>
    <w:rPr>
      <w:rFonts w:ascii="Tms Rmn" w:eastAsia="Times New Roman" w:hAnsi="Tms Rmn" w:cs="Times New Roman"/>
      <w:sz w:val="24"/>
      <w:szCs w:val="24"/>
      <w:lang w:eastAsia="en-AU"/>
    </w:rPr>
  </w:style>
  <w:style w:type="table" w:customStyle="1" w:styleId="TableGrid3">
    <w:name w:val="Table Grid3"/>
    <w:basedOn w:val="TableNormal"/>
    <w:next w:val="TableGrid"/>
    <w:uiPriority w:val="59"/>
    <w:rsid w:val="000A1D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E33E8B"/>
    <w:rPr>
      <w:b/>
      <w:bCs/>
      <w:i/>
      <w:smallCaps/>
      <w:color w:val="ED7D31" w:themeColor="accent2"/>
      <w:spacing w:val="5"/>
      <w:u w:val="none"/>
    </w:rPr>
  </w:style>
  <w:style w:type="paragraph" w:customStyle="1" w:styleId="bullet1">
    <w:name w:val="bullet1"/>
    <w:basedOn w:val="ListParagraph"/>
    <w:link w:val="bullet1Char"/>
    <w:qFormat/>
    <w:rsid w:val="00E33E8B"/>
    <w:pPr>
      <w:numPr>
        <w:numId w:val="30"/>
      </w:numPr>
      <w:spacing w:before="0" w:after="0" w:line="240" w:lineRule="auto"/>
    </w:pPr>
    <w:rPr>
      <w:rFonts w:ascii="Times New Roman" w:eastAsia="Times New Roman" w:hAnsi="Times New Roman" w:cs="Times New Roman"/>
      <w:sz w:val="24"/>
      <w:szCs w:val="28"/>
    </w:rPr>
  </w:style>
  <w:style w:type="character" w:customStyle="1" w:styleId="bullet1Char">
    <w:name w:val="bullet1 Char"/>
    <w:basedOn w:val="ListParagraphChar"/>
    <w:link w:val="bullet1"/>
    <w:rsid w:val="00E33E8B"/>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553548">
      <w:bodyDiv w:val="1"/>
      <w:marLeft w:val="0"/>
      <w:marRight w:val="0"/>
      <w:marTop w:val="0"/>
      <w:marBottom w:val="0"/>
      <w:divBdr>
        <w:top w:val="none" w:sz="0" w:space="0" w:color="auto"/>
        <w:left w:val="none" w:sz="0" w:space="0" w:color="auto"/>
        <w:bottom w:val="none" w:sz="0" w:space="0" w:color="auto"/>
        <w:right w:val="none" w:sz="0" w:space="0" w:color="auto"/>
      </w:divBdr>
    </w:div>
    <w:div w:id="734476075">
      <w:bodyDiv w:val="1"/>
      <w:marLeft w:val="0"/>
      <w:marRight w:val="0"/>
      <w:marTop w:val="0"/>
      <w:marBottom w:val="0"/>
      <w:divBdr>
        <w:top w:val="none" w:sz="0" w:space="0" w:color="auto"/>
        <w:left w:val="none" w:sz="0" w:space="0" w:color="auto"/>
        <w:bottom w:val="none" w:sz="0" w:space="0" w:color="auto"/>
        <w:right w:val="none" w:sz="0" w:space="0" w:color="auto"/>
      </w:divBdr>
    </w:div>
    <w:div w:id="1026566640">
      <w:bodyDiv w:val="1"/>
      <w:marLeft w:val="0"/>
      <w:marRight w:val="0"/>
      <w:marTop w:val="0"/>
      <w:marBottom w:val="0"/>
      <w:divBdr>
        <w:top w:val="none" w:sz="0" w:space="0" w:color="auto"/>
        <w:left w:val="none" w:sz="0" w:space="0" w:color="auto"/>
        <w:bottom w:val="none" w:sz="0" w:space="0" w:color="auto"/>
        <w:right w:val="none" w:sz="0" w:space="0" w:color="auto"/>
      </w:divBdr>
    </w:div>
    <w:div w:id="1466965536">
      <w:bodyDiv w:val="1"/>
      <w:marLeft w:val="0"/>
      <w:marRight w:val="0"/>
      <w:marTop w:val="0"/>
      <w:marBottom w:val="0"/>
      <w:divBdr>
        <w:top w:val="none" w:sz="0" w:space="0" w:color="auto"/>
        <w:left w:val="none" w:sz="0" w:space="0" w:color="auto"/>
        <w:bottom w:val="none" w:sz="0" w:space="0" w:color="auto"/>
        <w:right w:val="none" w:sz="0" w:space="0" w:color="auto"/>
      </w:divBdr>
    </w:div>
    <w:div w:id="171465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ac.gov.au/internet/msac/publishing.nsf/Content/Home-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onicgenetics.com.au/our-tests/all-tests/glioma-focused-gene-panel/" TargetMode="External"/><Relationship Id="rId3" Type="http://schemas.openxmlformats.org/officeDocument/2006/relationships/hyperlink" Target="https://www.aihw.gov.au/getmedia/d2914a17-052e-45bb-bbd3-17047c7d5da1/20566.pdf.aspx?inline=true" TargetMode="External"/><Relationship Id="rId7" Type="http://schemas.openxmlformats.org/officeDocument/2006/relationships/hyperlink" Target="http://www.msac.gov.au/internet/msac/publishing.nsf/Content/C676085C1BBC91D9CA258227001DA027/$File/1527%20-%20Final%20%20PSD.pdf" TargetMode="External"/><Relationship Id="rId2" Type="http://schemas.openxmlformats.org/officeDocument/2006/relationships/hyperlink" Target="https://www.aihw.gov.au/reports/cancer/cancer-data-in-australia/contents/cancer-summary-data-visualisation" TargetMode="External"/><Relationship Id="rId1" Type="http://schemas.openxmlformats.org/officeDocument/2006/relationships/hyperlink" Target="https://www.abs.gov.au/ausstats/abs@.nsf/Lookup/by%20Subject/3303.0~2016~Main%20Features~Cancer%20deaths%20in%20younger%20Australians%20-%20changes%20over%2020%20years~10000" TargetMode="External"/><Relationship Id="rId6" Type="http://schemas.openxmlformats.org/officeDocument/2006/relationships/hyperlink" Target="https://www.mayocliniclabs.com/~/media/it-mmfiles/special-instructions/Targeted_DNA_Gene_Regions_Interrogated_by_Neuro-Oncology_Panel.pdf" TargetMode="External"/><Relationship Id="rId5" Type="http://schemas.openxmlformats.org/officeDocument/2006/relationships/hyperlink" Target="https://panelapp.agha.umccr.org" TargetMode="External"/><Relationship Id="rId4" Type="http://schemas.openxmlformats.org/officeDocument/2006/relationships/hyperlink" Target="https://www.tga.gov.au/sites/default/files/auspar-larotrectinib-201216-pi.pdf" TargetMode="External"/><Relationship Id="rId9" Type="http://schemas.openxmlformats.org/officeDocument/2006/relationships/hyperlink" Target="https://www.genomicsforlife.com.au/cancer-oncology-testing/comprehensive-tumour-an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B56AB-6B19-4FE1-B427-CEF3E994F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9354</Words>
  <Characters>53226</Characters>
  <Application>Microsoft Office Word</Application>
  <DocSecurity>0</DocSecurity>
  <Lines>1108</Lines>
  <Paragraphs>508</Paragraphs>
  <ScaleCrop>false</ScaleCrop>
  <Company/>
  <LinksUpToDate>false</LinksUpToDate>
  <CharactersWithSpaces>62072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2022-07-01T00:34:00Z</dcterms:created>
  <dcterms:modified xsi:type="dcterms:W3CDTF">2022-07-01T00:34:00Z</dcterms:modified>
</cp:coreProperties>
</file>