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2CE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539D1AB" wp14:editId="362D55F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133132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F71B812" w14:textId="77777777" w:rsidR="00BC1364" w:rsidRPr="00F715D1" w:rsidRDefault="00BC1364" w:rsidP="00F715D1">
      <w:pPr>
        <w:pStyle w:val="Subtitle"/>
      </w:pPr>
      <w:r w:rsidRPr="00F715D1">
        <w:t xml:space="preserve">Application No. </w:t>
      </w:r>
      <w:r w:rsidR="00F878CB">
        <w:t>15</w:t>
      </w:r>
      <w:r w:rsidR="00724C12">
        <w:t>6</w:t>
      </w:r>
      <w:r w:rsidR="00757328">
        <w:t>9</w:t>
      </w:r>
      <w:r w:rsidRPr="00F715D1">
        <w:t xml:space="preserve"> – </w:t>
      </w:r>
      <w:r w:rsidR="00724C12">
        <w:t>Chitosan-based cartilage bio-matrix implant (BST-</w:t>
      </w:r>
      <w:proofErr w:type="spellStart"/>
      <w:r w:rsidR="00724C12">
        <w:t>CarGel</w:t>
      </w:r>
      <w:proofErr w:type="spellEnd"/>
      <w:r w:rsidR="00724C12">
        <w:t>), in conjunction with the marrow stimulation technique (microfracture), for repair of focal cartilage defects.</w:t>
      </w:r>
    </w:p>
    <w:p w14:paraId="48AF77A2"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24C12">
        <w:rPr>
          <w:rFonts w:ascii="Arial" w:hAnsi="Arial" w:cs="Arial"/>
          <w:b/>
          <w:szCs w:val="24"/>
        </w:rPr>
        <w:t>Smith and Nephew Pty Ltd</w:t>
      </w:r>
    </w:p>
    <w:p w14:paraId="0E8D6DAD"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62B547EF"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5F957D9B" w14:textId="77777777" w:rsidR="003D7F29" w:rsidRPr="00F715D1" w:rsidRDefault="003D7F29" w:rsidP="00F715D1">
      <w:pPr>
        <w:pStyle w:val="Heading1"/>
      </w:pPr>
      <w:r w:rsidRPr="00F715D1">
        <w:t>Purpose of application</w:t>
      </w:r>
      <w:r w:rsidR="00822C7E" w:rsidRPr="00F715D1">
        <w:t xml:space="preserve"> </w:t>
      </w:r>
    </w:p>
    <w:p w14:paraId="05007EBA" w14:textId="5C5297EA" w:rsidR="00467087" w:rsidRDefault="00FE5B66" w:rsidP="00467087">
      <w:r w:rsidRPr="00FE5B66">
        <w:t xml:space="preserve">This application is in response to a request </w:t>
      </w:r>
      <w:r>
        <w:t xml:space="preserve">from </w:t>
      </w:r>
      <w:r w:rsidRPr="00FE5B66">
        <w:t xml:space="preserve">the Prostheses List Advisory Committee (PLAC) </w:t>
      </w:r>
      <w:r>
        <w:t xml:space="preserve">for </w:t>
      </w:r>
      <w:r w:rsidR="00626E90">
        <w:t>MSAC</w:t>
      </w:r>
      <w:r w:rsidRPr="00FE5B66">
        <w:t xml:space="preserve"> to</w:t>
      </w:r>
      <w:r>
        <w:t xml:space="preserve"> provide advice on the comparative clinical and cost-effectiveness of </w:t>
      </w:r>
      <w:r w:rsidRPr="00FE5B66">
        <w:t>BST-</w:t>
      </w:r>
      <w:proofErr w:type="spellStart"/>
      <w:r w:rsidRPr="00FE5B66">
        <w:t>CarGel</w:t>
      </w:r>
      <w:proofErr w:type="spellEnd"/>
      <w:r>
        <w:t>.</w:t>
      </w:r>
      <w:r w:rsidRPr="00FE5B66">
        <w:t xml:space="preserve"> </w:t>
      </w:r>
      <w:r w:rsidR="00626E90">
        <w:t>To inform this consideration a</w:t>
      </w:r>
      <w:r w:rsidR="00467087">
        <w:t>n applicant developed assessment report (ADAR) for CARGEL/BST-</w:t>
      </w:r>
      <w:proofErr w:type="spellStart"/>
      <w:r w:rsidR="00467087">
        <w:t>CarGel</w:t>
      </w:r>
      <w:proofErr w:type="spellEnd"/>
      <w:r w:rsidR="00467087">
        <w:t xml:space="preserve"> in conjunction with microfracture surgery (MF) for the repair of focal cartilage defects </w:t>
      </w:r>
      <w:proofErr w:type="gramStart"/>
      <w:r w:rsidR="00467087">
        <w:t>was received</w:t>
      </w:r>
      <w:proofErr w:type="gramEnd"/>
      <w:r w:rsidR="00467087">
        <w:t xml:space="preserve"> from Smith and Nephew by the Department of Health.</w:t>
      </w:r>
    </w:p>
    <w:p w14:paraId="7F0A49C2" w14:textId="77777777" w:rsidR="00E977EE" w:rsidRPr="00F715D1" w:rsidRDefault="00E977EE" w:rsidP="00F715D1">
      <w:pPr>
        <w:pStyle w:val="Heading1"/>
      </w:pPr>
      <w:r w:rsidRPr="00F715D1">
        <w:t>MSAC’s advice to the Minister</w:t>
      </w:r>
    </w:p>
    <w:p w14:paraId="48BC8D6A" w14:textId="2A8D12E3" w:rsidR="004D7769" w:rsidRDefault="004D7769" w:rsidP="00453EF2">
      <w:pPr>
        <w:spacing w:after="240"/>
      </w:pPr>
      <w:r w:rsidRPr="001342D1">
        <w:t xml:space="preserve">After considering the strength of the available evidence in relation to comparative safety, </w:t>
      </w:r>
      <w:r>
        <w:t>clinical effectiveness and cost-</w:t>
      </w:r>
      <w:r w:rsidRPr="001342D1">
        <w:t xml:space="preserve">effectiveness, </w:t>
      </w:r>
      <w:r w:rsidRPr="000B3A0D">
        <w:t>MSAC did not support public funding for chitosan-based cartilage biomatrix</w:t>
      </w:r>
      <w:bookmarkStart w:id="0" w:name="_GoBack"/>
      <w:bookmarkEnd w:id="0"/>
      <w:r w:rsidRPr="000B3A0D">
        <w:t xml:space="preserve"> implant (CARGEL/BST-</w:t>
      </w:r>
      <w:proofErr w:type="spellStart"/>
      <w:r w:rsidRPr="000B3A0D">
        <w:t>CarGel</w:t>
      </w:r>
      <w:proofErr w:type="spellEnd"/>
      <w:r w:rsidRPr="000B3A0D">
        <w:t>) in conjunction with microfracture</w:t>
      </w:r>
      <w:r w:rsidR="009E2942">
        <w:t xml:space="preserve"> (MF)</w:t>
      </w:r>
      <w:r w:rsidRPr="000B3A0D">
        <w:t xml:space="preserve"> surgery for the repair of focal cartilage defects. To inform the </w:t>
      </w:r>
      <w:r>
        <w:t>Prostheses List Advisory Committee (</w:t>
      </w:r>
      <w:r w:rsidRPr="000B3A0D">
        <w:t>PLAC</w:t>
      </w:r>
      <w:r>
        <w:t>)</w:t>
      </w:r>
      <w:r w:rsidRPr="000B3A0D">
        <w:t xml:space="preserve"> consideration of the current listing for BST-</w:t>
      </w:r>
      <w:proofErr w:type="spellStart"/>
      <w:r w:rsidRPr="000B3A0D">
        <w:t>CarGel</w:t>
      </w:r>
      <w:proofErr w:type="spellEnd"/>
      <w:r w:rsidRPr="000B3A0D">
        <w:t xml:space="preserve"> on the Prostheses List</w:t>
      </w:r>
      <w:r>
        <w:t xml:space="preserve"> (PL)</w:t>
      </w:r>
      <w:r w:rsidRPr="000B3A0D">
        <w:t>, MSAC will advise PLAC that BST-</w:t>
      </w:r>
      <w:proofErr w:type="spellStart"/>
      <w:r w:rsidRPr="000B3A0D">
        <w:t>CarGel</w:t>
      </w:r>
      <w:proofErr w:type="spellEnd"/>
      <w:r w:rsidRPr="000B3A0D">
        <w:t xml:space="preserve"> is not cost-effective as there </w:t>
      </w:r>
      <w:proofErr w:type="gramStart"/>
      <w:r w:rsidRPr="000B3A0D">
        <w:t>is insufficient evidence to support non-inferior safety and superior effectiveness of BST-</w:t>
      </w:r>
      <w:proofErr w:type="spellStart"/>
      <w:r w:rsidRPr="000B3A0D">
        <w:t>CarGel</w:t>
      </w:r>
      <w:proofErr w:type="spellEnd"/>
      <w:r w:rsidRPr="000B3A0D">
        <w:t xml:space="preserve"> compared</w:t>
      </w:r>
      <w:proofErr w:type="gramEnd"/>
      <w:r w:rsidRPr="000B3A0D">
        <w:t xml:space="preserve"> with </w:t>
      </w:r>
      <w:r w:rsidR="009E2942">
        <w:t>MF</w:t>
      </w:r>
      <w:r w:rsidR="009E2942" w:rsidRPr="000B3A0D">
        <w:t xml:space="preserve"> </w:t>
      </w:r>
      <w:r w:rsidRPr="000B3A0D">
        <w:t>alone.</w:t>
      </w:r>
    </w:p>
    <w:tbl>
      <w:tblPr>
        <w:tblStyle w:val="TableGrid"/>
        <w:tblW w:w="0" w:type="auto"/>
        <w:tblLook w:val="04A0" w:firstRow="1" w:lastRow="0" w:firstColumn="1" w:lastColumn="0" w:noHBand="0" w:noVBand="1"/>
        <w:tblDescription w:val="Consumer summary of MSAC consideration"/>
      </w:tblPr>
      <w:tblGrid>
        <w:gridCol w:w="9016"/>
      </w:tblGrid>
      <w:tr w:rsidR="00CA24F3" w14:paraId="58E61E3E" w14:textId="77777777" w:rsidTr="00453EF2">
        <w:trPr>
          <w:tblHeader/>
        </w:trPr>
        <w:tc>
          <w:tcPr>
            <w:tcW w:w="9016" w:type="dxa"/>
          </w:tcPr>
          <w:p w14:paraId="267E5DED" w14:textId="02AE3DD3" w:rsidR="00CA24F3" w:rsidRPr="00CA24F3" w:rsidRDefault="00CA24F3" w:rsidP="00CA24F3">
            <w:pPr>
              <w:spacing w:before="120" w:after="120"/>
              <w:rPr>
                <w:b/>
              </w:rPr>
            </w:pPr>
            <w:r w:rsidRPr="00CA24F3">
              <w:rPr>
                <w:b/>
              </w:rPr>
              <w:t>Consumer summary</w:t>
            </w:r>
          </w:p>
        </w:tc>
      </w:tr>
      <w:tr w:rsidR="00CA24F3" w14:paraId="527053FE" w14:textId="77777777" w:rsidTr="00CA24F3">
        <w:tc>
          <w:tcPr>
            <w:tcW w:w="9016" w:type="dxa"/>
          </w:tcPr>
          <w:p w14:paraId="13942CFE" w14:textId="3D26F00B" w:rsidR="00CA24F3" w:rsidRDefault="00CA24F3" w:rsidP="00453EF2">
            <w:pPr>
              <w:spacing w:before="120" w:after="240"/>
            </w:pPr>
            <w:r>
              <w:t>This application is in response to a request from the Prostheses List Advisory Committee (PLAC) for MSAC to perform a health technology assessment for BST-</w:t>
            </w:r>
            <w:proofErr w:type="spellStart"/>
            <w:r>
              <w:t>CarGel</w:t>
            </w:r>
            <w:proofErr w:type="spellEnd"/>
            <w:r>
              <w:t xml:space="preserve"> plus microfracture (MF). Specifically, MSAC </w:t>
            </w:r>
            <w:proofErr w:type="gramStart"/>
            <w:r>
              <w:t>was asked</w:t>
            </w:r>
            <w:proofErr w:type="gramEnd"/>
            <w:r>
              <w:t xml:space="preserve"> to review BST-</w:t>
            </w:r>
            <w:proofErr w:type="spellStart"/>
            <w:r>
              <w:t>CarGel’s</w:t>
            </w:r>
            <w:proofErr w:type="spellEnd"/>
            <w:r>
              <w:t xml:space="preserve"> clinical effectiveness and cost-effectiveness when compared to MF alone, for the repair of cartilage defects. BST-</w:t>
            </w:r>
            <w:proofErr w:type="spellStart"/>
            <w:r>
              <w:t>CarGel</w:t>
            </w:r>
            <w:proofErr w:type="spellEnd"/>
            <w:r>
              <w:t xml:space="preserve"> has been on the Prostheses List (PL) since 2015.</w:t>
            </w:r>
          </w:p>
          <w:p w14:paraId="20923591" w14:textId="3482F2FE" w:rsidR="00CA24F3" w:rsidRDefault="00CA24F3" w:rsidP="00CA24F3">
            <w:r>
              <w:t xml:space="preserve">Cartilage cushions the bones so that joints (such as the knee) can move easily. If cartilage </w:t>
            </w:r>
            <w:proofErr w:type="gramStart"/>
            <w:r>
              <w:t>is damaged</w:t>
            </w:r>
            <w:proofErr w:type="gramEnd"/>
            <w:r>
              <w:t xml:space="preserve">, it cannot regenerate (regrow) on its own. If the damage </w:t>
            </w:r>
            <w:proofErr w:type="gramStart"/>
            <w:r>
              <w:t>is left</w:t>
            </w:r>
            <w:proofErr w:type="gramEnd"/>
            <w:r>
              <w:t xml:space="preserve"> untreated, it can </w:t>
            </w:r>
            <w:r>
              <w:lastRenderedPageBreak/>
              <w:t xml:space="preserve">lead to conditions such as arthritis. One way to repair cartilage damage is using MF. This is a surgical procedure where many small holes </w:t>
            </w:r>
            <w:proofErr w:type="gramStart"/>
            <w:r>
              <w:t>are made</w:t>
            </w:r>
            <w:proofErr w:type="gramEnd"/>
            <w:r>
              <w:t xml:space="preserve"> in the surface of the joint, which stimulates a healing response. </w:t>
            </w:r>
            <w:proofErr w:type="gramStart"/>
            <w:r>
              <w:t>But</w:t>
            </w:r>
            <w:proofErr w:type="gramEnd"/>
            <w:r>
              <w:t xml:space="preserve"> the repair t</w:t>
            </w:r>
            <w:r w:rsidR="00453EF2">
              <w:t>issue can break down over time.</w:t>
            </w:r>
          </w:p>
          <w:p w14:paraId="23FA4424" w14:textId="158EE0F8" w:rsidR="00CA24F3" w:rsidRDefault="00CA24F3" w:rsidP="00453EF2">
            <w:pPr>
              <w:spacing w:before="240"/>
            </w:pPr>
            <w:r>
              <w:t>BST-</w:t>
            </w:r>
            <w:proofErr w:type="spellStart"/>
            <w:r>
              <w:t>CarGel</w:t>
            </w:r>
            <w:proofErr w:type="spellEnd"/>
            <w:r>
              <w:t xml:space="preserve"> </w:t>
            </w:r>
            <w:proofErr w:type="gramStart"/>
            <w:r>
              <w:t>is used</w:t>
            </w:r>
            <w:proofErr w:type="gramEnd"/>
            <w:r>
              <w:t xml:space="preserve"> together with MF and is claimed to help the healing process. BST-</w:t>
            </w:r>
            <w:proofErr w:type="spellStart"/>
            <w:r>
              <w:t>CarGel</w:t>
            </w:r>
            <w:proofErr w:type="spellEnd"/>
            <w:r>
              <w:t xml:space="preserve"> </w:t>
            </w:r>
            <w:proofErr w:type="gramStart"/>
            <w:r>
              <w:t>is mixed</w:t>
            </w:r>
            <w:proofErr w:type="gramEnd"/>
            <w:r>
              <w:t xml:space="preserve"> with some of the patient’s blood, building a type of scaffolding and causing special cells called stem cells to move to the injured area, where they might help to r</w:t>
            </w:r>
            <w:r w:rsidR="00453EF2">
              <w:t xml:space="preserve">egenerate new cartilage cells. </w:t>
            </w:r>
          </w:p>
          <w:p w14:paraId="5314DE9C" w14:textId="77777777" w:rsidR="00CA24F3" w:rsidRDefault="00CA24F3" w:rsidP="00453EF2">
            <w:pPr>
              <w:spacing w:before="240"/>
            </w:pPr>
            <w:r>
              <w:t>MSAC found that there was not enough evidence to show that using BST-</w:t>
            </w:r>
            <w:proofErr w:type="spellStart"/>
            <w:r>
              <w:t>CarGel</w:t>
            </w:r>
            <w:proofErr w:type="spellEnd"/>
            <w:r>
              <w:t xml:space="preserve"> in addition to MF was better or more cost-effective than MF alone. </w:t>
            </w:r>
          </w:p>
          <w:p w14:paraId="62ACF617" w14:textId="77777777" w:rsidR="00CA24F3" w:rsidRPr="00CA24F3" w:rsidRDefault="00CA24F3" w:rsidP="00CA24F3">
            <w:pPr>
              <w:spacing w:before="240" w:after="120"/>
              <w:rPr>
                <w:b/>
              </w:rPr>
            </w:pPr>
            <w:r w:rsidRPr="00CA24F3">
              <w:rPr>
                <w:b/>
              </w:rPr>
              <w:t>MSAC’s advice to PLAC</w:t>
            </w:r>
          </w:p>
          <w:p w14:paraId="0F2325DD" w14:textId="2069AE05" w:rsidR="00CA24F3" w:rsidRDefault="00CA24F3" w:rsidP="00CA24F3">
            <w:pPr>
              <w:spacing w:after="120"/>
            </w:pPr>
            <w:r>
              <w:t>MSAC advised PLAC that the evidence demonstrates that BST-</w:t>
            </w:r>
            <w:proofErr w:type="spellStart"/>
            <w:r>
              <w:t>CarGel</w:t>
            </w:r>
            <w:proofErr w:type="spellEnd"/>
            <w:r>
              <w:t xml:space="preserve"> does not work any better than MF surgery alone, which means it is not a cost-effective treatment.</w:t>
            </w:r>
          </w:p>
        </w:tc>
      </w:tr>
    </w:tbl>
    <w:p w14:paraId="67B9F9F3" w14:textId="77777777" w:rsidR="00550354" w:rsidRPr="00F715D1" w:rsidRDefault="00B17FA6" w:rsidP="00F715D1">
      <w:pPr>
        <w:pStyle w:val="Heading1"/>
      </w:pPr>
      <w:r>
        <w:lastRenderedPageBreak/>
        <w:t xml:space="preserve">Summary of consideration </w:t>
      </w:r>
      <w:r w:rsidR="00550354" w:rsidRPr="00F715D1">
        <w:t xml:space="preserve">and rationale for MSAC’s advice </w:t>
      </w:r>
    </w:p>
    <w:p w14:paraId="30532DFD" w14:textId="4147431A" w:rsidR="00E13CD5" w:rsidRDefault="004D7769" w:rsidP="004D7769">
      <w:proofErr w:type="gramStart"/>
      <w:r>
        <w:t>MSAC noted that the purpose of this application is to determine whether BST-</w:t>
      </w:r>
      <w:proofErr w:type="spellStart"/>
      <w:r>
        <w:t>CarGel</w:t>
      </w:r>
      <w:proofErr w:type="spellEnd"/>
      <w:r>
        <w:t xml:space="preserve"> plus </w:t>
      </w:r>
      <w:r w:rsidR="00B25671">
        <w:t>M</w:t>
      </w:r>
      <w:r w:rsidR="00DA15A6">
        <w:t>F</w:t>
      </w:r>
      <w:r w:rsidR="00B25671">
        <w:t xml:space="preserve"> </w:t>
      </w:r>
      <w:r>
        <w:t xml:space="preserve">is </w:t>
      </w:r>
      <w:r w:rsidR="00AA3B5E">
        <w:t xml:space="preserve">more </w:t>
      </w:r>
      <w:r>
        <w:t>clinically effective and cost-effective</w:t>
      </w:r>
      <w:r w:rsidR="00B25671">
        <w:t xml:space="preserve"> compared with MF alone,</w:t>
      </w:r>
      <w:r>
        <w:t xml:space="preserve"> and therefore whether it should remain on the PL.</w:t>
      </w:r>
      <w:r w:rsidR="00DA15A6">
        <w:t xml:space="preserve"> MSAC noted that BST-CARGEL has been reimbursed via the MBS and the Prosthesis List (PL) since August 2015, with the PL listing not limited by joint location.</w:t>
      </w:r>
      <w:proofErr w:type="gramEnd"/>
      <w:r w:rsidR="00DA15A6">
        <w:t xml:space="preserve"> MSAC noted that the PICO Advisory Sub-committee (PASC) recommended the health technology assessment be restricted to the knee, to align with the available evidence.</w:t>
      </w:r>
    </w:p>
    <w:p w14:paraId="0CFC3070" w14:textId="74A40707" w:rsidR="00A36D98" w:rsidRDefault="00A36D98" w:rsidP="00453EF2">
      <w:pPr>
        <w:spacing w:before="240"/>
      </w:pPr>
      <w:r>
        <w:t>MSAC noted two subpopulations</w:t>
      </w:r>
      <w:r w:rsidR="004E3839">
        <w:t xml:space="preserve"> were considered</w:t>
      </w:r>
      <w:r>
        <w:t xml:space="preserve">: </w:t>
      </w:r>
      <w:r w:rsidR="004746BD">
        <w:t xml:space="preserve">symptomatic patients with radiologically confirmed grade 3 and grade </w:t>
      </w:r>
      <w:proofErr w:type="gramStart"/>
      <w:r w:rsidR="004746BD">
        <w:t>4</w:t>
      </w:r>
      <w:proofErr w:type="gramEnd"/>
      <w:r w:rsidR="004746BD">
        <w:t xml:space="preserve"> lesions either</w:t>
      </w:r>
      <w:r>
        <w:t xml:space="preserve"> &lt;2cm</w:t>
      </w:r>
      <w:r>
        <w:rPr>
          <w:vertAlign w:val="superscript"/>
        </w:rPr>
        <w:t>2</w:t>
      </w:r>
      <w:r>
        <w:t xml:space="preserve"> (population 1) or ≥2cm</w:t>
      </w:r>
      <w:r>
        <w:rPr>
          <w:vertAlign w:val="superscript"/>
        </w:rPr>
        <w:t>2</w:t>
      </w:r>
      <w:r>
        <w:t xml:space="preserve"> in size with intact subchondral end</w:t>
      </w:r>
      <w:r w:rsidR="004746BD">
        <w:t>plate (population 2); and that these</w:t>
      </w:r>
      <w:r>
        <w:t xml:space="preserve"> </w:t>
      </w:r>
      <w:r w:rsidR="004746BD">
        <w:t>sub</w:t>
      </w:r>
      <w:r>
        <w:t xml:space="preserve">populations were not analysed separately </w:t>
      </w:r>
      <w:r w:rsidR="004746BD">
        <w:t>in the ADAR.</w:t>
      </w:r>
      <w:r>
        <w:t xml:space="preserve"> MSAC also noted by definition, </w:t>
      </w:r>
      <w:r w:rsidR="004746BD">
        <w:t>g</w:t>
      </w:r>
      <w:r>
        <w:t xml:space="preserve">rade 4 </w:t>
      </w:r>
      <w:r w:rsidR="004E3839">
        <w:t>lesions</w:t>
      </w:r>
      <w:r w:rsidR="0041359B">
        <w:t xml:space="preserve"> classified with the </w:t>
      </w:r>
      <w:r w:rsidR="0041359B" w:rsidRPr="0041359B">
        <w:t>Internal Cartilage Repair Society</w:t>
      </w:r>
      <w:r w:rsidR="0041359B">
        <w:t xml:space="preserve"> (ICRS) classification system</w:t>
      </w:r>
      <w:r w:rsidR="004E3839">
        <w:t xml:space="preserve"> do </w:t>
      </w:r>
      <w:r>
        <w:t xml:space="preserve">not have an intact chondral endplate and thus </w:t>
      </w:r>
      <w:r w:rsidR="00F04409">
        <w:t xml:space="preserve">the proposed indication </w:t>
      </w:r>
      <w:r w:rsidR="004746BD">
        <w:t xml:space="preserve">cannot </w:t>
      </w:r>
      <w:r w:rsidR="00F04409">
        <w:t>include</w:t>
      </w:r>
      <w:r w:rsidR="004746BD">
        <w:t xml:space="preserve"> g</w:t>
      </w:r>
      <w:r>
        <w:t>rade 4 for either</w:t>
      </w:r>
      <w:r w:rsidR="004746BD">
        <w:t xml:space="preserve"> population 1 or 2.</w:t>
      </w:r>
    </w:p>
    <w:p w14:paraId="744132AA" w14:textId="7DD4D25F" w:rsidR="00350AD6" w:rsidRDefault="00F37CBD" w:rsidP="00453EF2">
      <w:pPr>
        <w:spacing w:before="240"/>
      </w:pPr>
      <w:r>
        <w:t xml:space="preserve">MSAC noted the </w:t>
      </w:r>
      <w:r w:rsidR="00350AD6">
        <w:t>Evaluation-Sub-Committee (</w:t>
      </w:r>
      <w:r>
        <w:t>ESC</w:t>
      </w:r>
      <w:r w:rsidR="00350AD6">
        <w:t>)</w:t>
      </w:r>
      <w:r>
        <w:t xml:space="preserve"> discussion for the clinical management algorithms, which indicated that MF surgery is appropriate for the treatment of knee cartilage lesions of up to 5cm</w:t>
      </w:r>
      <w:r>
        <w:rPr>
          <w:vertAlign w:val="superscript"/>
        </w:rPr>
        <w:t>2</w:t>
      </w:r>
      <w:r>
        <w:t xml:space="preserve"> (expert advice),</w:t>
      </w:r>
      <w:r w:rsidR="00663221">
        <w:t xml:space="preserve"> </w:t>
      </w:r>
      <w:r>
        <w:t>and that age and level of activity of the patient are important considerations, which are not included in the algorithm.</w:t>
      </w:r>
      <w:r w:rsidR="004746BD">
        <w:t xml:space="preserve"> MSAC also noted that MF plus other scaffolding products</w:t>
      </w:r>
      <w:r w:rsidR="00AA3B5E">
        <w:t xml:space="preserve"> (with one such </w:t>
      </w:r>
      <w:r w:rsidR="000423D3">
        <w:t>competitor product going through the MSAC process</w:t>
      </w:r>
      <w:r w:rsidR="00AA3B5E">
        <w:t>)</w:t>
      </w:r>
      <w:r w:rsidR="004746BD">
        <w:t xml:space="preserve"> </w:t>
      </w:r>
      <w:proofErr w:type="gramStart"/>
      <w:r w:rsidR="004746BD">
        <w:t>were</w:t>
      </w:r>
      <w:proofErr w:type="gramEnd"/>
      <w:r w:rsidR="004746BD">
        <w:t xml:space="preserve"> not included</w:t>
      </w:r>
      <w:r w:rsidR="000B1DDA">
        <w:t xml:space="preserve"> in the algorithm</w:t>
      </w:r>
      <w:r w:rsidR="000423D3">
        <w:t>.</w:t>
      </w:r>
    </w:p>
    <w:p w14:paraId="2D195234" w14:textId="66599941" w:rsidR="00350AD6" w:rsidRDefault="00350AD6" w:rsidP="00453EF2">
      <w:pPr>
        <w:spacing w:before="240"/>
      </w:pPr>
      <w:r>
        <w:t xml:space="preserve">MSAC noted the lack of consumer response and that consultation feedback was limited to a response from a single clinician. This feedback considered that MF is harmful, reduces the effectiveness of other treatments and </w:t>
      </w:r>
      <w:proofErr w:type="gramStart"/>
      <w:r>
        <w:t>has been discredited</w:t>
      </w:r>
      <w:proofErr w:type="gramEnd"/>
      <w:r>
        <w:t xml:space="preserve"> as a therapeutic procedure. </w:t>
      </w:r>
    </w:p>
    <w:p w14:paraId="4DD59EF7" w14:textId="33E08936" w:rsidR="00350AD6" w:rsidRDefault="00350AD6" w:rsidP="00453EF2">
      <w:pPr>
        <w:spacing w:before="240" w:after="240"/>
      </w:pPr>
      <w:r>
        <w:t xml:space="preserve">MSAC also noted there is limited evidence that MF </w:t>
      </w:r>
      <w:proofErr w:type="gramStart"/>
      <w:r>
        <w:t>should be accepted</w:t>
      </w:r>
      <w:proofErr w:type="gramEnd"/>
      <w:r>
        <w:t xml:space="preserve"> as the gold standard for the treatment of chondral lesions of the knee (</w:t>
      </w:r>
      <w:proofErr w:type="spellStart"/>
      <w:r>
        <w:t>Erggelelet</w:t>
      </w:r>
      <w:proofErr w:type="spellEnd"/>
      <w:r>
        <w:t xml:space="preserve"> et al. 2016</w:t>
      </w:r>
      <w:r>
        <w:rPr>
          <w:rStyle w:val="FootnoteReference"/>
        </w:rPr>
        <w:footnoteReference w:id="1"/>
      </w:r>
      <w:r>
        <w:t>).</w:t>
      </w:r>
    </w:p>
    <w:p w14:paraId="0DD921A2" w14:textId="54ED402E" w:rsidR="00D75627" w:rsidRDefault="004D7769" w:rsidP="004D7769">
      <w:r>
        <w:lastRenderedPageBreak/>
        <w:t xml:space="preserve">MSAC noted that </w:t>
      </w:r>
      <w:r w:rsidR="00350AD6">
        <w:t xml:space="preserve">the ADAR relied upon </w:t>
      </w:r>
      <w:r w:rsidR="00103C25">
        <w:t xml:space="preserve">one </w:t>
      </w:r>
      <w:r w:rsidR="00350AD6">
        <w:t>randomised controlled trial (</w:t>
      </w:r>
      <w:r w:rsidRPr="00EB0200">
        <w:t>RCT</w:t>
      </w:r>
      <w:r w:rsidR="00350AD6">
        <w:t>)</w:t>
      </w:r>
      <w:r w:rsidRPr="00EB0200">
        <w:t xml:space="preserve"> </w:t>
      </w:r>
      <w:r w:rsidR="00103C25">
        <w:t xml:space="preserve">comparing </w:t>
      </w:r>
      <w:proofErr w:type="spellStart"/>
      <w:r w:rsidR="00103C25">
        <w:t>BST-Cargel+MF</w:t>
      </w:r>
      <w:proofErr w:type="spellEnd"/>
      <w:r w:rsidR="00103C25">
        <w:t xml:space="preserve"> </w:t>
      </w:r>
      <w:r w:rsidR="00103C25" w:rsidRPr="00F66B80">
        <w:rPr>
          <w:i/>
        </w:rPr>
        <w:t>vs.</w:t>
      </w:r>
      <w:r w:rsidR="00103C25">
        <w:t xml:space="preserve"> MF (</w:t>
      </w:r>
      <w:proofErr w:type="spellStart"/>
      <w:r w:rsidR="00103C25">
        <w:t>Stanish</w:t>
      </w:r>
      <w:proofErr w:type="spellEnd"/>
      <w:r w:rsidR="00103C25">
        <w:t xml:space="preserve"> et al. 2013)</w:t>
      </w:r>
      <w:r w:rsidRPr="00EB0200">
        <w:t xml:space="preserve"> and two follow-up studies containing subsets of patients from this RCT; one looking at histological outcomes at 13 months and one looking at the structural and clinical outcomes at </w:t>
      </w:r>
      <w:r>
        <w:t xml:space="preserve">5 </w:t>
      </w:r>
      <w:r w:rsidRPr="00EB0200">
        <w:t>years follow-up</w:t>
      </w:r>
      <w:r>
        <w:t>.</w:t>
      </w:r>
      <w:r w:rsidR="00103C25">
        <w:t xml:space="preserve"> </w:t>
      </w:r>
      <w:r w:rsidR="003B3F4B">
        <w:t>MSAC noted</w:t>
      </w:r>
      <w:r w:rsidR="00D75627">
        <w:t>:</w:t>
      </w:r>
    </w:p>
    <w:p w14:paraId="3E14EE34" w14:textId="6A4883FE" w:rsidR="003B3F4B" w:rsidRDefault="00103C25" w:rsidP="00F66B80">
      <w:pPr>
        <w:pStyle w:val="ListParagraph"/>
        <w:numPr>
          <w:ilvl w:val="0"/>
          <w:numId w:val="34"/>
        </w:numPr>
      </w:pPr>
      <w:proofErr w:type="gramStart"/>
      <w:r>
        <w:t>that</w:t>
      </w:r>
      <w:proofErr w:type="gramEnd"/>
      <w:r>
        <w:t xml:space="preserve"> the pivotal RCT was limited to assessment of structural and clinical outcomes over 12 months, and</w:t>
      </w:r>
      <w:r w:rsidR="003B3F4B">
        <w:t xml:space="preserve"> that t</w:t>
      </w:r>
      <w:r w:rsidR="003B3F4B" w:rsidRPr="00F7500C">
        <w:t xml:space="preserve">he sponsor of the RCT was the company </w:t>
      </w:r>
      <w:r w:rsidR="003B3F4B">
        <w:t>that</w:t>
      </w:r>
      <w:r w:rsidR="003B3F4B" w:rsidRPr="00F7500C">
        <w:t xml:space="preserve"> owned </w:t>
      </w:r>
      <w:r w:rsidR="003B3F4B">
        <w:t>BST-</w:t>
      </w:r>
      <w:proofErr w:type="spellStart"/>
      <w:r w:rsidR="003B3F4B">
        <w:t>CarGel</w:t>
      </w:r>
      <w:proofErr w:type="spellEnd"/>
      <w:r w:rsidR="003B3F4B">
        <w:t xml:space="preserve"> </w:t>
      </w:r>
      <w:r w:rsidR="003B3F4B" w:rsidRPr="00F7500C">
        <w:t>at the time</w:t>
      </w:r>
      <w:r>
        <w:t xml:space="preserve"> </w:t>
      </w:r>
      <w:r w:rsidR="00D75627">
        <w:t xml:space="preserve">and thus </w:t>
      </w:r>
      <w:r w:rsidR="00AA3B5E">
        <w:t xml:space="preserve">there were potential </w:t>
      </w:r>
      <w:r w:rsidR="00D75627">
        <w:t>c</w:t>
      </w:r>
      <w:r w:rsidR="003B3F4B" w:rsidRPr="00F7500C">
        <w:t>onflicts of interest with all three studies relating to associations with the sponsor.</w:t>
      </w:r>
    </w:p>
    <w:p w14:paraId="229B8C6A" w14:textId="5D3D696C" w:rsidR="006C6130" w:rsidRDefault="004D7769" w:rsidP="00453EF2">
      <w:pPr>
        <w:pStyle w:val="ListParagraph"/>
        <w:numPr>
          <w:ilvl w:val="0"/>
          <w:numId w:val="34"/>
        </w:numPr>
      </w:pPr>
      <w:r>
        <w:t>that the 5</w:t>
      </w:r>
      <w:r w:rsidRPr="00DF54C1">
        <w:t>-year follow-up study ha</w:t>
      </w:r>
      <w:r w:rsidR="00CD4A76">
        <w:t>d</w:t>
      </w:r>
      <w:r w:rsidRPr="00DF54C1">
        <w:t xml:space="preserve"> a high risk of selection bias owing to </w:t>
      </w:r>
      <w:r>
        <w:t xml:space="preserve">patient </w:t>
      </w:r>
      <w:r w:rsidRPr="00DF54C1">
        <w:t>continuation in the study by choice and bias</w:t>
      </w:r>
      <w:r w:rsidR="00CD4A76">
        <w:t xml:space="preserve"> from </w:t>
      </w:r>
      <w:r w:rsidR="00AA3B5E">
        <w:t xml:space="preserve">a </w:t>
      </w:r>
      <w:r w:rsidR="00CD4A76">
        <w:t>high loss to follow-up</w:t>
      </w:r>
      <w:r w:rsidRPr="00DF54C1">
        <w:t>.</w:t>
      </w:r>
      <w:r w:rsidRPr="00216C8D">
        <w:t xml:space="preserve"> </w:t>
      </w:r>
      <w:r w:rsidR="00CD4A76">
        <w:t>Thus</w:t>
      </w:r>
      <w:r>
        <w:t>,</w:t>
      </w:r>
      <w:r w:rsidRPr="00216C8D">
        <w:t xml:space="preserve"> </w:t>
      </w:r>
      <w:r>
        <w:t>MSAC considered the</w:t>
      </w:r>
      <w:r w:rsidR="00D75627">
        <w:t xml:space="preserve"> results from this study to be highly uncertain.</w:t>
      </w:r>
    </w:p>
    <w:p w14:paraId="1C1399F5" w14:textId="24EBD85B" w:rsidR="004D7769" w:rsidRDefault="006C6130" w:rsidP="00453EF2">
      <w:pPr>
        <w:spacing w:before="240"/>
      </w:pPr>
      <w:r>
        <w:t xml:space="preserve">MSAC noted that the applicant claims non-inferior safety, but there was uncertainty due to serious adverse events </w:t>
      </w:r>
      <w:r w:rsidR="00AA3B5E">
        <w:t>b</w:t>
      </w:r>
      <w:r>
        <w:t>e</w:t>
      </w:r>
      <w:r w:rsidR="00AA3B5E">
        <w:t>ing</w:t>
      </w:r>
      <w:r>
        <w:t xml:space="preserve"> only reported in number </w:t>
      </w:r>
      <w:r w:rsidR="00AA3B5E">
        <w:t xml:space="preserve">and </w:t>
      </w:r>
      <w:r>
        <w:t xml:space="preserve">not </w:t>
      </w:r>
      <w:r w:rsidR="00AA3B5E">
        <w:t>their characteristics</w:t>
      </w:r>
      <w:r>
        <w:t xml:space="preserve"> (5/41 patients)</w:t>
      </w:r>
      <w:r w:rsidR="00AA3B5E">
        <w:t>. There was additional</w:t>
      </w:r>
      <w:r>
        <w:t xml:space="preserve"> </w:t>
      </w:r>
      <w:r w:rsidR="00A6747B">
        <w:rPr>
          <w:lang w:eastAsia="en-US"/>
        </w:rPr>
        <w:t xml:space="preserve">uncertainty due to the RCT using </w:t>
      </w:r>
      <w:proofErr w:type="spellStart"/>
      <w:r w:rsidR="00A6747B">
        <w:rPr>
          <w:lang w:eastAsia="en-US"/>
        </w:rPr>
        <w:t>arthrotomy</w:t>
      </w:r>
      <w:proofErr w:type="spellEnd"/>
      <w:r w:rsidR="00A6747B">
        <w:rPr>
          <w:lang w:eastAsia="en-US"/>
        </w:rPr>
        <w:t>, whereas clinical practice generally e</w:t>
      </w:r>
      <w:r w:rsidR="00AA3B5E">
        <w:rPr>
          <w:lang w:eastAsia="en-US"/>
        </w:rPr>
        <w:t>mploys</w:t>
      </w:r>
      <w:r w:rsidR="00A6747B">
        <w:rPr>
          <w:lang w:eastAsia="en-US"/>
        </w:rPr>
        <w:t xml:space="preserve"> arthroscop</w:t>
      </w:r>
      <w:r w:rsidR="00AA3B5E">
        <w:rPr>
          <w:lang w:eastAsia="en-US"/>
        </w:rPr>
        <w:t>ic access</w:t>
      </w:r>
      <w:r w:rsidR="00A6747B">
        <w:t>.</w:t>
      </w:r>
    </w:p>
    <w:p w14:paraId="1EB297C4" w14:textId="4A28E99D" w:rsidR="00080E6B" w:rsidRDefault="004D7769" w:rsidP="00453EF2">
      <w:pPr>
        <w:spacing w:before="240"/>
      </w:pPr>
      <w:r>
        <w:t>MSAC note</w:t>
      </w:r>
      <w:r w:rsidR="00CD4A76">
        <w:t>d</w:t>
      </w:r>
      <w:r>
        <w:t xml:space="preserve"> that the applicant </w:t>
      </w:r>
      <w:r w:rsidR="00CD4A76">
        <w:t xml:space="preserve">claims </w:t>
      </w:r>
      <w:r>
        <w:t xml:space="preserve">superior clinical effectiveness based on significant improvement in structural outcomes as determined by </w:t>
      </w:r>
      <w:r w:rsidR="003811BD">
        <w:t>magnetic resonance imaging (</w:t>
      </w:r>
      <w:r>
        <w:t>MRI</w:t>
      </w:r>
      <w:r w:rsidR="003811BD">
        <w:t>)</w:t>
      </w:r>
      <w:r>
        <w:t>.</w:t>
      </w:r>
      <w:r w:rsidR="000B1DDA">
        <w:t xml:space="preserve"> </w:t>
      </w:r>
      <w:r w:rsidR="006C6130">
        <w:t xml:space="preserve">However, </w:t>
      </w:r>
      <w:r w:rsidR="009E10D2">
        <w:t xml:space="preserve">MSAC also noted that the effect size and 95% confidence interval (CI) failed to reach the pre-specified difference of 15% for the lesion fill outcome (see </w:t>
      </w:r>
      <w:r w:rsidR="00CE1414" w:rsidRPr="0095363B">
        <w:rPr>
          <w:szCs w:val="24"/>
        </w:rPr>
        <w:fldChar w:fldCharType="begin"/>
      </w:r>
      <w:r w:rsidR="00CE1414" w:rsidRPr="0095363B">
        <w:rPr>
          <w:szCs w:val="24"/>
        </w:rPr>
        <w:instrText xml:space="preserve"> REF _Ref40102173 \h </w:instrText>
      </w:r>
      <w:r w:rsidR="0095363B" w:rsidRPr="0095363B">
        <w:rPr>
          <w:szCs w:val="24"/>
        </w:rPr>
        <w:instrText xml:space="preserve"> \* MERGEFORMAT </w:instrText>
      </w:r>
      <w:r w:rsidR="00CE1414" w:rsidRPr="0095363B">
        <w:rPr>
          <w:szCs w:val="24"/>
        </w:rPr>
      </w:r>
      <w:r w:rsidR="00CE1414" w:rsidRPr="0095363B">
        <w:rPr>
          <w:szCs w:val="24"/>
        </w:rPr>
        <w:fldChar w:fldCharType="separate"/>
      </w:r>
      <w:r w:rsidR="0095363B" w:rsidRPr="0095363B">
        <w:rPr>
          <w:szCs w:val="24"/>
        </w:rPr>
        <w:t xml:space="preserve">Table </w:t>
      </w:r>
      <w:r w:rsidR="0095363B" w:rsidRPr="0095363B">
        <w:rPr>
          <w:noProof/>
          <w:szCs w:val="24"/>
        </w:rPr>
        <w:t>4</w:t>
      </w:r>
      <w:r w:rsidR="00CE1414" w:rsidRPr="0095363B">
        <w:rPr>
          <w:szCs w:val="24"/>
        </w:rPr>
        <w:fldChar w:fldCharType="end"/>
      </w:r>
      <w:r w:rsidR="009E10D2">
        <w:t>).</w:t>
      </w:r>
      <w:r>
        <w:t xml:space="preserve"> </w:t>
      </w:r>
      <w:r w:rsidR="006C6130">
        <w:t xml:space="preserve">In addition, </w:t>
      </w:r>
      <w:r w:rsidR="00CD4A76">
        <w:t xml:space="preserve">MSAC noted that </w:t>
      </w:r>
      <w:r>
        <w:t>patient-reported outcomes</w:t>
      </w:r>
      <w:r w:rsidR="00CD4A76">
        <w:t xml:space="preserve"> assessing pain, stiffness and function</w:t>
      </w:r>
      <w:r>
        <w:t xml:space="preserve"> (</w:t>
      </w:r>
      <w:r w:rsidR="003811BD" w:rsidRPr="003811BD">
        <w:t xml:space="preserve">Western Ontario and McMaster Universities Arthritis Index </w:t>
      </w:r>
      <w:r w:rsidR="003811BD">
        <w:t>[</w:t>
      </w:r>
      <w:r>
        <w:t>WOMAC</w:t>
      </w:r>
      <w:r w:rsidR="003811BD">
        <w:t>]</w:t>
      </w:r>
      <w:r w:rsidR="00CD4A76">
        <w:t>)</w:t>
      </w:r>
      <w:r>
        <w:t xml:space="preserve"> and</w:t>
      </w:r>
      <w:r w:rsidR="00CD4A76">
        <w:t xml:space="preserve"> quality of life</w:t>
      </w:r>
      <w:r>
        <w:t xml:space="preserve"> </w:t>
      </w:r>
      <w:r w:rsidR="00CD4A76">
        <w:t>(</w:t>
      </w:r>
      <w:r w:rsidR="003811BD">
        <w:t>Short Form 36 [</w:t>
      </w:r>
      <w:r>
        <w:t>SF-36</w:t>
      </w:r>
      <w:r w:rsidR="003811BD">
        <w:t>]</w:t>
      </w:r>
      <w:r>
        <w:t>) did not differ significantly between BST-</w:t>
      </w:r>
      <w:proofErr w:type="spellStart"/>
      <w:r>
        <w:t>CarGel</w:t>
      </w:r>
      <w:proofErr w:type="spellEnd"/>
      <w:r>
        <w:t xml:space="preserve"> </w:t>
      </w:r>
      <w:proofErr w:type="gramStart"/>
      <w:r>
        <w:t>plus</w:t>
      </w:r>
      <w:proofErr w:type="gramEnd"/>
      <w:r>
        <w:t xml:space="preserve"> </w:t>
      </w:r>
      <w:r w:rsidR="003811BD">
        <w:t xml:space="preserve">MF </w:t>
      </w:r>
      <w:r w:rsidR="003811BD" w:rsidRPr="005F38BD">
        <w:rPr>
          <w:i/>
        </w:rPr>
        <w:t>vs.</w:t>
      </w:r>
      <w:r>
        <w:t xml:space="preserve"> </w:t>
      </w:r>
      <w:r w:rsidR="003811BD">
        <w:t xml:space="preserve">MF </w:t>
      </w:r>
      <w:r>
        <w:t>alone. MSAC queried whether improvements in structural outcomes based on imaging are valid surrogates for improvement in patient symptoms</w:t>
      </w:r>
      <w:r w:rsidR="009E10D2">
        <w:t>.</w:t>
      </w:r>
    </w:p>
    <w:p w14:paraId="2A873493" w14:textId="7956C0CB" w:rsidR="003105D5" w:rsidRDefault="00080E6B" w:rsidP="00453EF2">
      <w:pPr>
        <w:spacing w:before="240"/>
      </w:pPr>
      <w:r>
        <w:t xml:space="preserve">MSAC noted the pre-MSAC response, </w:t>
      </w:r>
      <w:r w:rsidR="00AA3B5E">
        <w:t xml:space="preserve">in </w:t>
      </w:r>
      <w:r>
        <w:t>which the applicant prov</w:t>
      </w:r>
      <w:r w:rsidR="006060C6">
        <w:t>ided supportive evidence of the</w:t>
      </w:r>
      <w:r>
        <w:t xml:space="preserve"> correlation</w:t>
      </w:r>
      <w:r w:rsidR="006060C6">
        <w:t xml:space="preserve"> between MRI and clinical outcomes</w:t>
      </w:r>
      <w:r>
        <w:t xml:space="preserve">. However, MSAC noted a recent review by </w:t>
      </w:r>
      <w:proofErr w:type="spellStart"/>
      <w:r w:rsidRPr="00297D2C">
        <w:t>Branco</w:t>
      </w:r>
      <w:proofErr w:type="spellEnd"/>
      <w:r w:rsidRPr="00297D2C">
        <w:t xml:space="preserve"> da Cunha et al. </w:t>
      </w:r>
      <w:r w:rsidR="00B13266" w:rsidRPr="00297D2C">
        <w:t>20</w:t>
      </w:r>
      <w:r w:rsidR="00B13266">
        <w:t>20</w:t>
      </w:r>
      <w:r w:rsidR="005A349D">
        <w:rPr>
          <w:rStyle w:val="FootnoteReference"/>
        </w:rPr>
        <w:footnoteReference w:id="2"/>
      </w:r>
      <w:r w:rsidR="00B13266">
        <w:t xml:space="preserve"> </w:t>
      </w:r>
      <w:r>
        <w:t xml:space="preserve">(not included in the ADAR) </w:t>
      </w:r>
      <w:r w:rsidR="006060C6">
        <w:t xml:space="preserve">which </w:t>
      </w:r>
      <w:r>
        <w:t xml:space="preserve">reported that imaging studies showed inconsistent results when using enhanced MF techniques. </w:t>
      </w:r>
      <w:r w:rsidR="006C6130">
        <w:t>Thus</w:t>
      </w:r>
      <w:r w:rsidR="006060C6">
        <w:t>, MSAC considered that t</w:t>
      </w:r>
      <w:r>
        <w:t xml:space="preserve">he strength of the correlation between MRI and clinical outcomes </w:t>
      </w:r>
      <w:r w:rsidR="00AA3B5E">
        <w:t>remain</w:t>
      </w:r>
      <w:r>
        <w:t xml:space="preserve">s </w:t>
      </w:r>
      <w:r w:rsidR="006060C6">
        <w:t xml:space="preserve">highly </w:t>
      </w:r>
      <w:r>
        <w:t>uncertain.</w:t>
      </w:r>
    </w:p>
    <w:p w14:paraId="7CDEDB13" w14:textId="2E2CD74C" w:rsidR="004D7769" w:rsidRDefault="003105D5" w:rsidP="00453EF2">
      <w:pPr>
        <w:spacing w:before="240"/>
      </w:pPr>
      <w:r>
        <w:t>Overall, MSAC considered the superior effectiveness claim was highly uncertain, and in particular over the longer term, for which there was an absence of reliable data.</w:t>
      </w:r>
    </w:p>
    <w:p w14:paraId="14AF8D63" w14:textId="0A7788DB" w:rsidR="00B40C63" w:rsidRDefault="004D7769" w:rsidP="00453EF2">
      <w:pPr>
        <w:spacing w:before="240"/>
      </w:pPr>
      <w:r>
        <w:t>MSAC noted the</w:t>
      </w:r>
      <w:r w:rsidR="00C76ABA">
        <w:t xml:space="preserve"> many uncertainties in health economic outcomes mainly due to </w:t>
      </w:r>
      <w:r w:rsidR="00396C54">
        <w:t>uncertain clinical benefit, and the ADAR</w:t>
      </w:r>
      <w:r w:rsidR="00F04409">
        <w:t>’</w:t>
      </w:r>
      <w:r w:rsidR="00396C54">
        <w:t>s assumptions</w:t>
      </w:r>
      <w:r w:rsidR="00EB64CA">
        <w:t xml:space="preserve"> that structural outcomes </w:t>
      </w:r>
      <w:proofErr w:type="gramStart"/>
      <w:r w:rsidR="00EB64CA">
        <w:t>are correlated</w:t>
      </w:r>
      <w:proofErr w:type="gramEnd"/>
      <w:r w:rsidR="00EB64CA">
        <w:t xml:space="preserve"> with clinical outcomes, no risk of subsequent treatment in the base case</w:t>
      </w:r>
      <w:r w:rsidR="00AA3B5E">
        <w:t>,</w:t>
      </w:r>
      <w:r w:rsidR="00EB64CA">
        <w:t xml:space="preserve"> and treatment success/failure is sustained for the duration of the model. </w:t>
      </w:r>
      <w:r w:rsidR="006060C6">
        <w:t xml:space="preserve">In particular, </w:t>
      </w:r>
      <w:r>
        <w:t xml:space="preserve">MSAC </w:t>
      </w:r>
      <w:r w:rsidR="006060C6">
        <w:t>considered</w:t>
      </w:r>
      <w:r>
        <w:t xml:space="preserve"> the </w:t>
      </w:r>
      <w:proofErr w:type="gramStart"/>
      <w:r w:rsidR="006060C6">
        <w:t>assumption</w:t>
      </w:r>
      <w:r w:rsidR="00D0072D">
        <w:t xml:space="preserve"> </w:t>
      </w:r>
      <w:r w:rsidR="006060C6">
        <w:t xml:space="preserve">which </w:t>
      </w:r>
      <w:r>
        <w:t>extrapolat</w:t>
      </w:r>
      <w:r w:rsidR="006060C6">
        <w:t>ed</w:t>
      </w:r>
      <w:r>
        <w:t xml:space="preserve"> the 12-month </w:t>
      </w:r>
      <w:r w:rsidR="00D0072D">
        <w:t>outcomes as maintained</w:t>
      </w:r>
      <w:r>
        <w:t xml:space="preserve"> over a 20-year time horizon</w:t>
      </w:r>
      <w:proofErr w:type="gramEnd"/>
      <w:r>
        <w:t xml:space="preserve"> was</w:t>
      </w:r>
      <w:r w:rsidR="00D0072D">
        <w:t xml:space="preserve"> highly unrealistic</w:t>
      </w:r>
      <w:r>
        <w:t xml:space="preserve"> and </w:t>
      </w:r>
      <w:r w:rsidR="00D0072D">
        <w:t>did</w:t>
      </w:r>
      <w:r w:rsidRPr="006A742B">
        <w:t xml:space="preserve"> not align with </w:t>
      </w:r>
      <w:r w:rsidR="00D0072D">
        <w:t xml:space="preserve">independent </w:t>
      </w:r>
      <w:r w:rsidRPr="006A742B">
        <w:t>expert advice</w:t>
      </w:r>
      <w:r w:rsidR="00D0072D">
        <w:t xml:space="preserve"> indicating that MF is not considered a long-term cure </w:t>
      </w:r>
      <w:r w:rsidR="00AA3B5E">
        <w:t xml:space="preserve">with many </w:t>
      </w:r>
      <w:r w:rsidR="00D0072D">
        <w:t>patients go</w:t>
      </w:r>
      <w:r w:rsidR="00AA3B5E">
        <w:t>ing</w:t>
      </w:r>
      <w:r w:rsidR="00D0072D">
        <w:t xml:space="preserve"> on to other procedures later in life. MSAC noted the Commentary’s additional analyses including more realistic scenarios with regression of treatment effect and subsequent treatments result</w:t>
      </w:r>
      <w:r w:rsidR="00A04EA7">
        <w:t>ed</w:t>
      </w:r>
      <w:r w:rsidR="00D0072D">
        <w:t xml:space="preserve"> in </w:t>
      </w:r>
      <w:r w:rsidR="00475753">
        <w:t xml:space="preserve">much </w:t>
      </w:r>
      <w:r w:rsidR="00DE6A57">
        <w:t>high</w:t>
      </w:r>
      <w:r w:rsidR="00475753">
        <w:t>er</w:t>
      </w:r>
      <w:r w:rsidR="00D0072D">
        <w:t xml:space="preserve"> </w:t>
      </w:r>
      <w:r w:rsidR="00DE6A57">
        <w:t>incremental cost-effectiveness ratios (</w:t>
      </w:r>
      <w:r w:rsidR="00DE6A57" w:rsidRPr="00786519">
        <w:t>ICERs</w:t>
      </w:r>
      <w:r w:rsidR="00DE6A57">
        <w:t>)</w:t>
      </w:r>
      <w:r w:rsidR="00475753">
        <w:t xml:space="preserve"> compared with the ADARs base case </w:t>
      </w:r>
      <w:r w:rsidR="00475753">
        <w:lastRenderedPageBreak/>
        <w:t>model</w:t>
      </w:r>
      <w:r w:rsidR="00DE6A57">
        <w:t xml:space="preserve"> </w:t>
      </w:r>
      <w:r w:rsidR="00D0072D">
        <w:t xml:space="preserve">(see </w:t>
      </w:r>
      <w:r w:rsidR="00CE1414" w:rsidRPr="0095363B">
        <w:rPr>
          <w:szCs w:val="24"/>
        </w:rPr>
        <w:fldChar w:fldCharType="begin"/>
      </w:r>
      <w:r w:rsidR="00CE1414" w:rsidRPr="0095363B">
        <w:rPr>
          <w:szCs w:val="24"/>
        </w:rPr>
        <w:instrText xml:space="preserve"> REF _Ref50387223 \h </w:instrText>
      </w:r>
      <w:r w:rsidR="0095363B" w:rsidRPr="0095363B">
        <w:rPr>
          <w:szCs w:val="24"/>
        </w:rPr>
        <w:instrText xml:space="preserve"> \* MERGEFORMAT </w:instrText>
      </w:r>
      <w:r w:rsidR="00CE1414" w:rsidRPr="0095363B">
        <w:rPr>
          <w:szCs w:val="24"/>
        </w:rPr>
      </w:r>
      <w:r w:rsidR="00CE1414" w:rsidRPr="0095363B">
        <w:rPr>
          <w:szCs w:val="24"/>
        </w:rPr>
        <w:fldChar w:fldCharType="separate"/>
      </w:r>
      <w:r w:rsidR="0095363B" w:rsidRPr="0095363B">
        <w:rPr>
          <w:szCs w:val="24"/>
        </w:rPr>
        <w:t xml:space="preserve">Table </w:t>
      </w:r>
      <w:r w:rsidR="0095363B" w:rsidRPr="0095363B">
        <w:rPr>
          <w:noProof/>
          <w:szCs w:val="24"/>
        </w:rPr>
        <w:t>8</w:t>
      </w:r>
      <w:r w:rsidR="00CE1414" w:rsidRPr="0095363B">
        <w:rPr>
          <w:szCs w:val="24"/>
        </w:rPr>
        <w:fldChar w:fldCharType="end"/>
      </w:r>
      <w:r w:rsidR="00D0072D" w:rsidRPr="0095363B">
        <w:rPr>
          <w:szCs w:val="24"/>
        </w:rPr>
        <w:t>).</w:t>
      </w:r>
      <w:r w:rsidR="00475753" w:rsidRPr="0095363B">
        <w:rPr>
          <w:szCs w:val="24"/>
        </w:rPr>
        <w:t xml:space="preserve"> MSAC also noted the pre-MSAC response, </w:t>
      </w:r>
      <w:r w:rsidR="00AA3B5E" w:rsidRPr="0095363B">
        <w:rPr>
          <w:szCs w:val="24"/>
        </w:rPr>
        <w:t xml:space="preserve">in </w:t>
      </w:r>
      <w:r w:rsidR="00475753" w:rsidRPr="0095363B">
        <w:rPr>
          <w:szCs w:val="24"/>
        </w:rPr>
        <w:t xml:space="preserve">which the applicant provided alternative data for treatment regression and retreatment with </w:t>
      </w:r>
      <w:proofErr w:type="gramStart"/>
      <w:r w:rsidR="00475753" w:rsidRPr="0095363B">
        <w:rPr>
          <w:szCs w:val="24"/>
        </w:rPr>
        <w:t>MF which</w:t>
      </w:r>
      <w:proofErr w:type="gramEnd"/>
      <w:r w:rsidR="00475753" w:rsidRPr="0095363B">
        <w:rPr>
          <w:szCs w:val="24"/>
        </w:rPr>
        <w:t xml:space="preserve"> resulted in lower ICERs (see </w:t>
      </w:r>
      <w:r w:rsidR="00CE1414" w:rsidRPr="0095363B">
        <w:rPr>
          <w:szCs w:val="24"/>
        </w:rPr>
        <w:fldChar w:fldCharType="begin"/>
      </w:r>
      <w:r w:rsidR="00CE1414" w:rsidRPr="0095363B">
        <w:rPr>
          <w:szCs w:val="24"/>
        </w:rPr>
        <w:instrText xml:space="preserve"> REF _Ref50387223 \h </w:instrText>
      </w:r>
      <w:r w:rsidR="0095363B" w:rsidRPr="0095363B">
        <w:rPr>
          <w:szCs w:val="24"/>
        </w:rPr>
        <w:instrText xml:space="preserve"> \* MERGEFORMAT </w:instrText>
      </w:r>
      <w:r w:rsidR="00CE1414" w:rsidRPr="0095363B">
        <w:rPr>
          <w:szCs w:val="24"/>
        </w:rPr>
      </w:r>
      <w:r w:rsidR="00CE1414" w:rsidRPr="0095363B">
        <w:rPr>
          <w:szCs w:val="24"/>
        </w:rPr>
        <w:fldChar w:fldCharType="separate"/>
      </w:r>
      <w:r w:rsidR="0095363B" w:rsidRPr="0095363B">
        <w:rPr>
          <w:szCs w:val="24"/>
        </w:rPr>
        <w:t xml:space="preserve">Table </w:t>
      </w:r>
      <w:r w:rsidR="0095363B" w:rsidRPr="0095363B">
        <w:rPr>
          <w:noProof/>
          <w:szCs w:val="24"/>
        </w:rPr>
        <w:t>8</w:t>
      </w:r>
      <w:r w:rsidR="00CE1414" w:rsidRPr="0095363B">
        <w:rPr>
          <w:szCs w:val="24"/>
        </w:rPr>
        <w:fldChar w:fldCharType="end"/>
      </w:r>
      <w:r w:rsidR="00475753">
        <w:t>).</w:t>
      </w:r>
      <w:r w:rsidR="00B40C63">
        <w:t xml:space="preserve"> However, </w:t>
      </w:r>
      <w:r>
        <w:t xml:space="preserve">MSAC </w:t>
      </w:r>
      <w:r w:rsidR="00DE6A57">
        <w:t xml:space="preserve">agreed with ESC and </w:t>
      </w:r>
      <w:r w:rsidR="00B40C63">
        <w:t xml:space="preserve">considered overall </w:t>
      </w:r>
      <w:proofErr w:type="gramStart"/>
      <w:r>
        <w:t>that the</w:t>
      </w:r>
      <w:r w:rsidR="00B40C63">
        <w:t xml:space="preserve">re was </w:t>
      </w:r>
      <w:r w:rsidR="008C7537">
        <w:t>a high level of</w:t>
      </w:r>
      <w:r>
        <w:t xml:space="preserve"> </w:t>
      </w:r>
      <w:r w:rsidRPr="00786519">
        <w:t xml:space="preserve">uncertainty in </w:t>
      </w:r>
      <w:r>
        <w:t xml:space="preserve">the </w:t>
      </w:r>
      <w:r w:rsidRPr="00786519">
        <w:t>ICER</w:t>
      </w:r>
      <w:r w:rsidR="00DE6A57">
        <w:t>, primarily</w:t>
      </w:r>
      <w:r w:rsidRPr="00786519">
        <w:t xml:space="preserve"> due to poor</w:t>
      </w:r>
      <w:r>
        <w:t>-</w:t>
      </w:r>
      <w:r w:rsidRPr="00786519">
        <w:t>quality clinical data</w:t>
      </w:r>
      <w:r w:rsidR="008C7537">
        <w:t xml:space="preserve"> and the fact that it relied on</w:t>
      </w:r>
      <w:r w:rsidRPr="00786519">
        <w:t xml:space="preserve"> </w:t>
      </w:r>
      <w:r w:rsidR="008C7537" w:rsidRPr="00786519">
        <w:t xml:space="preserve">structural </w:t>
      </w:r>
      <w:r w:rsidR="008C7537">
        <w:t xml:space="preserve">MRI </w:t>
      </w:r>
      <w:r w:rsidR="008C7537" w:rsidRPr="00786519">
        <w:t xml:space="preserve">outcomes </w:t>
      </w:r>
      <w:r w:rsidR="008C7537">
        <w:t>at</w:t>
      </w:r>
      <w:r w:rsidRPr="00786519">
        <w:t xml:space="preserve"> 12-month</w:t>
      </w:r>
      <w:r w:rsidR="00AA3B5E">
        <w:t>s</w:t>
      </w:r>
      <w:proofErr w:type="gramEnd"/>
      <w:r w:rsidR="008C7537">
        <w:t>.</w:t>
      </w:r>
    </w:p>
    <w:p w14:paraId="26C7E6FF" w14:textId="2E8017EE" w:rsidR="00DE6A57" w:rsidRDefault="00DE6A57" w:rsidP="00453EF2">
      <w:pPr>
        <w:spacing w:before="240"/>
      </w:pPr>
      <w:r>
        <w:t>MSAC noted that</w:t>
      </w:r>
      <w:r w:rsidR="005C6470">
        <w:t>,</w:t>
      </w:r>
      <w:r>
        <w:t xml:space="preserve"> because BST-CARGEL </w:t>
      </w:r>
      <w:proofErr w:type="gramStart"/>
      <w:r>
        <w:t>is already reimbursed</w:t>
      </w:r>
      <w:proofErr w:type="gramEnd"/>
      <w:r>
        <w:t xml:space="preserve"> continued listing has no budget implications.</w:t>
      </w:r>
      <w:r w:rsidR="00A6747B">
        <w:t xml:space="preserve"> MSAC noted the pre-MSAC response indicating the recent </w:t>
      </w:r>
      <w:r w:rsidR="001647CA" w:rsidRPr="001647CA">
        <w:rPr>
          <w:b/>
        </w:rPr>
        <w:t>redacted</w:t>
      </w:r>
      <w:r w:rsidR="001647CA">
        <w:t xml:space="preserve"> </w:t>
      </w:r>
      <w:r w:rsidR="00A6747B">
        <w:t xml:space="preserve">in CARGEL sales due to the listing of competitor product on the PL, which the applicant claimed would </w:t>
      </w:r>
      <w:r w:rsidR="001647CA" w:rsidRPr="001647CA">
        <w:rPr>
          <w:b/>
        </w:rPr>
        <w:t>redacted</w:t>
      </w:r>
      <w:r w:rsidR="001647CA" w:rsidDel="001647CA">
        <w:t xml:space="preserve"> </w:t>
      </w:r>
      <w:r w:rsidR="00A6747B">
        <w:t>MBS costs associated with the use of CARGEL with MF.</w:t>
      </w:r>
    </w:p>
    <w:p w14:paraId="2EFA4D43" w14:textId="107781D2" w:rsidR="00350AD6" w:rsidRDefault="00DE6A57" w:rsidP="00453EF2">
      <w:pPr>
        <w:spacing w:before="240"/>
      </w:pPr>
      <w:r w:rsidRPr="000B3A0D">
        <w:t xml:space="preserve">To inform the </w:t>
      </w:r>
      <w:r>
        <w:t>Prostheses List Advisory Committee (</w:t>
      </w:r>
      <w:r w:rsidRPr="000B3A0D">
        <w:t>PLAC</w:t>
      </w:r>
      <w:r>
        <w:t>)</w:t>
      </w:r>
      <w:r w:rsidRPr="000B3A0D">
        <w:t xml:space="preserve"> consideration of the current listing for BST-</w:t>
      </w:r>
      <w:proofErr w:type="spellStart"/>
      <w:r w:rsidRPr="000B3A0D">
        <w:t>CarGel</w:t>
      </w:r>
      <w:proofErr w:type="spellEnd"/>
      <w:r w:rsidRPr="000B3A0D">
        <w:t xml:space="preserve"> on the Prostheses List</w:t>
      </w:r>
      <w:r>
        <w:t xml:space="preserve"> (PL)</w:t>
      </w:r>
      <w:r w:rsidRPr="000B3A0D">
        <w:t>, MSAC will advise PLAC that BST-</w:t>
      </w:r>
      <w:proofErr w:type="spellStart"/>
      <w:r w:rsidRPr="000B3A0D">
        <w:t>CarGel</w:t>
      </w:r>
      <w:proofErr w:type="spellEnd"/>
      <w:r w:rsidRPr="000B3A0D">
        <w:t xml:space="preserve"> is not cost-effective as there </w:t>
      </w:r>
      <w:proofErr w:type="gramStart"/>
      <w:r w:rsidRPr="000B3A0D">
        <w:t>is insufficient evidence to support non-inferior safety and superior effectiveness of BST-</w:t>
      </w:r>
      <w:proofErr w:type="spellStart"/>
      <w:r w:rsidRPr="000B3A0D">
        <w:t>CarGel</w:t>
      </w:r>
      <w:proofErr w:type="spellEnd"/>
      <w:r w:rsidRPr="000B3A0D">
        <w:t xml:space="preserve"> compared</w:t>
      </w:r>
      <w:proofErr w:type="gramEnd"/>
      <w:r w:rsidRPr="000B3A0D">
        <w:t xml:space="preserve"> with </w:t>
      </w:r>
      <w:r>
        <w:t>MF</w:t>
      </w:r>
      <w:r w:rsidRPr="000B3A0D">
        <w:t xml:space="preserve"> alone</w:t>
      </w:r>
      <w:r>
        <w:t>.</w:t>
      </w:r>
    </w:p>
    <w:p w14:paraId="5AEE09E8" w14:textId="7175BF3B" w:rsidR="00350AD6" w:rsidRDefault="00350AD6" w:rsidP="00453EF2">
      <w:pPr>
        <w:spacing w:before="240"/>
      </w:pPr>
      <w:r>
        <w:t>MSAC recalled that other ‘like’ products (matrix-induced autologous chondrocyte implantation [MACI] and autologous chondrocyte implantation [ACI]) for the treatment of large (&gt;2cm</w:t>
      </w:r>
      <w:r>
        <w:rPr>
          <w:vertAlign w:val="superscript"/>
        </w:rPr>
        <w:t>2</w:t>
      </w:r>
      <w:r>
        <w:t>) chondral lesions of the knee were not supported due to t</w:t>
      </w:r>
      <w:r>
        <w:rPr>
          <w:spacing w:val="1"/>
        </w:rPr>
        <w:t>h</w:t>
      </w:r>
      <w:r>
        <w:t>e</w:t>
      </w:r>
      <w:r>
        <w:rPr>
          <w:spacing w:val="6"/>
        </w:rPr>
        <w:t xml:space="preserve"> </w:t>
      </w:r>
      <w:r>
        <w:rPr>
          <w:spacing w:val="1"/>
        </w:rPr>
        <w:t>i</w:t>
      </w:r>
      <w:r>
        <w:t>ncr</w:t>
      </w:r>
      <w:r>
        <w:rPr>
          <w:spacing w:val="1"/>
        </w:rPr>
        <w:t>e</w:t>
      </w:r>
      <w:r>
        <w:rPr>
          <w:spacing w:val="-2"/>
        </w:rPr>
        <w:t>a</w:t>
      </w:r>
      <w:r>
        <w:rPr>
          <w:spacing w:val="1"/>
        </w:rPr>
        <w:t>s</w:t>
      </w:r>
      <w:r>
        <w:rPr>
          <w:spacing w:val="-1"/>
        </w:rPr>
        <w:t>e</w:t>
      </w:r>
      <w:r>
        <w:t>d</w:t>
      </w:r>
      <w:r>
        <w:rPr>
          <w:spacing w:val="19"/>
        </w:rPr>
        <w:t xml:space="preserve"> </w:t>
      </w:r>
      <w:r>
        <w:rPr>
          <w:spacing w:val="-2"/>
        </w:rPr>
        <w:t>c</w:t>
      </w:r>
      <w:r>
        <w:t>o</w:t>
      </w:r>
      <w:r>
        <w:rPr>
          <w:spacing w:val="2"/>
        </w:rPr>
        <w:t>s</w:t>
      </w:r>
      <w:r>
        <w:t>t</w:t>
      </w:r>
      <w:r>
        <w:rPr>
          <w:spacing w:val="8"/>
        </w:rPr>
        <w:t xml:space="preserve"> </w:t>
      </w:r>
      <w:r>
        <w:rPr>
          <w:spacing w:val="-2"/>
        </w:rPr>
        <w:t>c</w:t>
      </w:r>
      <w:r>
        <w:rPr>
          <w:spacing w:val="2"/>
        </w:rPr>
        <w:t>o</w:t>
      </w:r>
      <w:r>
        <w:rPr>
          <w:spacing w:val="-3"/>
        </w:rPr>
        <w:t>m</w:t>
      </w:r>
      <w:r>
        <w:rPr>
          <w:spacing w:val="1"/>
        </w:rPr>
        <w:t>p</w:t>
      </w:r>
      <w:r>
        <w:t>a</w:t>
      </w:r>
      <w:r>
        <w:rPr>
          <w:spacing w:val="2"/>
        </w:rPr>
        <w:t>r</w:t>
      </w:r>
      <w:r>
        <w:t>ed</w:t>
      </w:r>
      <w:r>
        <w:rPr>
          <w:spacing w:val="19"/>
        </w:rPr>
        <w:t xml:space="preserve"> </w:t>
      </w:r>
      <w:r>
        <w:rPr>
          <w:spacing w:val="1"/>
        </w:rPr>
        <w:t>t</w:t>
      </w:r>
      <w:r>
        <w:t>o</w:t>
      </w:r>
      <w:r>
        <w:rPr>
          <w:spacing w:val="4"/>
        </w:rPr>
        <w:t xml:space="preserve"> </w:t>
      </w:r>
      <w:r>
        <w:t>exi</w:t>
      </w:r>
      <w:r>
        <w:rPr>
          <w:spacing w:val="2"/>
        </w:rPr>
        <w:t>s</w:t>
      </w:r>
      <w:r>
        <w:t>ting</w:t>
      </w:r>
      <w:r>
        <w:rPr>
          <w:spacing w:val="15"/>
        </w:rPr>
        <w:t xml:space="preserve"> </w:t>
      </w:r>
      <w:r>
        <w:t>p</w:t>
      </w:r>
      <w:r>
        <w:rPr>
          <w:spacing w:val="2"/>
        </w:rPr>
        <w:t>r</w:t>
      </w:r>
      <w:r>
        <w:rPr>
          <w:spacing w:val="1"/>
        </w:rPr>
        <w:t>o</w:t>
      </w:r>
      <w:r>
        <w:t>cedures</w:t>
      </w:r>
      <w:r>
        <w:rPr>
          <w:spacing w:val="20"/>
        </w:rPr>
        <w:t xml:space="preserve"> </w:t>
      </w:r>
      <w:r>
        <w:t>a</w:t>
      </w:r>
      <w:r>
        <w:rPr>
          <w:spacing w:val="1"/>
        </w:rPr>
        <w:t>n</w:t>
      </w:r>
      <w:r>
        <w:t>d</w:t>
      </w:r>
      <w:r>
        <w:rPr>
          <w:spacing w:val="7"/>
        </w:rPr>
        <w:t xml:space="preserve"> </w:t>
      </w:r>
      <w:r>
        <w:rPr>
          <w:w w:val="102"/>
        </w:rPr>
        <w:t xml:space="preserve">the </w:t>
      </w:r>
      <w:r>
        <w:t>insufficient evidence of improvement in clinical outcomes (</w:t>
      </w:r>
      <w:hyperlink r:id="rId10" w:history="1">
        <w:r w:rsidRPr="00350AD6">
          <w:rPr>
            <w:rStyle w:val="Hyperlink"/>
          </w:rPr>
          <w:t>MSAC application 1140 Public Summary Document 2010</w:t>
        </w:r>
      </w:hyperlink>
      <w:r>
        <w:t>).</w:t>
      </w:r>
    </w:p>
    <w:p w14:paraId="725129F1" w14:textId="7A6DEA4F" w:rsidR="004D7769" w:rsidRPr="00453EF2" w:rsidRDefault="004D7769" w:rsidP="00453EF2">
      <w:pPr>
        <w:pStyle w:val="Heading2"/>
        <w:rPr>
          <w:b/>
        </w:rPr>
      </w:pPr>
      <w:r w:rsidRPr="004D7769">
        <w:rPr>
          <w:b/>
        </w:rPr>
        <w:t>Other discussion</w:t>
      </w:r>
    </w:p>
    <w:p w14:paraId="2EC2EED3" w14:textId="3256F7DE" w:rsidR="004D7769" w:rsidRDefault="004D7769" w:rsidP="00453EF2">
      <w:pPr>
        <w:spacing w:before="120"/>
      </w:pPr>
      <w:r>
        <w:t>MSAC noted that the decision to not support BST-</w:t>
      </w:r>
      <w:proofErr w:type="spellStart"/>
      <w:r>
        <w:t>CarGel</w:t>
      </w:r>
      <w:proofErr w:type="spellEnd"/>
      <w:r>
        <w:t xml:space="preserve"> </w:t>
      </w:r>
      <w:proofErr w:type="gramStart"/>
      <w:r>
        <w:t>may</w:t>
      </w:r>
      <w:proofErr w:type="gramEnd"/>
      <w:r>
        <w:t xml:space="preserve"> have implications for competitor product</w:t>
      </w:r>
      <w:r w:rsidR="00340AAC">
        <w:t>s</w:t>
      </w:r>
      <w:r>
        <w:t xml:space="preserve"> coming through the MSAC process</w:t>
      </w:r>
      <w:r w:rsidR="000423D3">
        <w:t>.</w:t>
      </w:r>
    </w:p>
    <w:p w14:paraId="0750DA44" w14:textId="77777777" w:rsidR="00BC1364" w:rsidRPr="00F715D1" w:rsidRDefault="00BC1364" w:rsidP="00F715D1">
      <w:pPr>
        <w:pStyle w:val="Heading1"/>
      </w:pPr>
      <w:r w:rsidRPr="00F715D1">
        <w:t>Background</w:t>
      </w:r>
    </w:p>
    <w:p w14:paraId="6C312552" w14:textId="201D485A" w:rsidR="00467087" w:rsidRDefault="00467087" w:rsidP="00467087">
      <w:r>
        <w:t>This is the first submission for BST-CARGEL in &lt;</w:t>
      </w:r>
      <w:proofErr w:type="gramStart"/>
      <w:r>
        <w:t>2</w:t>
      </w:r>
      <w:proofErr w:type="gramEnd"/>
      <w:r>
        <w:t> cm</w:t>
      </w:r>
      <w:r>
        <w:rPr>
          <w:vertAlign w:val="superscript"/>
        </w:rPr>
        <w:t>2</w:t>
      </w:r>
      <w:r>
        <w:t xml:space="preserve"> (population 1) or ≥ 2 cm</w:t>
      </w:r>
      <w:r>
        <w:rPr>
          <w:vertAlign w:val="superscript"/>
        </w:rPr>
        <w:t>2</w:t>
      </w:r>
      <w:r>
        <w:t xml:space="preserve"> in size with intact subchondral endplate (population 2). MSAC has not previously considered this application. </w:t>
      </w:r>
    </w:p>
    <w:p w14:paraId="0A789017" w14:textId="243538F3" w:rsidR="00467087" w:rsidRDefault="00467087" w:rsidP="00453EF2">
      <w:pPr>
        <w:spacing w:before="240"/>
      </w:pPr>
      <w:r>
        <w:t xml:space="preserve">The ADAR stated that the use of CARGEL+MF </w:t>
      </w:r>
      <w:proofErr w:type="gramStart"/>
      <w:r>
        <w:t>is not limited by joint location and used in cartilage repair of other joints than just the knee – including hip and ankle with associated relevant MBS item numbers</w:t>
      </w:r>
      <w:proofErr w:type="gramEnd"/>
      <w:r>
        <w:t xml:space="preserve">. PASC recommended the HTA </w:t>
      </w:r>
      <w:r>
        <w:rPr>
          <w:i/>
          <w:iCs/>
        </w:rPr>
        <w:t>“be restricted to the knee, given most evidence relates to this site”</w:t>
      </w:r>
    </w:p>
    <w:p w14:paraId="6A4795CD" w14:textId="1B63035F" w:rsidR="00B27E88" w:rsidRDefault="00467087" w:rsidP="00453EF2">
      <w:pPr>
        <w:keepNext/>
        <w:spacing w:before="240"/>
      </w:pPr>
      <w:r>
        <w:t xml:space="preserve">CARGEL </w:t>
      </w:r>
      <w:proofErr w:type="gramStart"/>
      <w:r>
        <w:t>has been listed</w:t>
      </w:r>
      <w:proofErr w:type="gramEnd"/>
      <w:r>
        <w:t xml:space="preserve"> on the Prostheses List (PL) since August 2015. </w:t>
      </w:r>
      <w:r w:rsidR="00F16454">
        <w:t>The</w:t>
      </w:r>
      <w:r>
        <w:t xml:space="preserve"> billing code SL072 for CARGEL</w:t>
      </w:r>
      <w:r w:rsidR="00F16454">
        <w:t xml:space="preserve"> is associated with</w:t>
      </w:r>
      <w:r>
        <w:t xml:space="preserve"> the MBS item code (49561)</w:t>
      </w:r>
      <w:r w:rsidR="00F16454">
        <w:t xml:space="preserve"> </w:t>
      </w:r>
      <w:r>
        <w:t xml:space="preserve">on the basis that CARGEL </w:t>
      </w:r>
      <w:r w:rsidR="00F16454">
        <w:t xml:space="preserve">is considered </w:t>
      </w:r>
      <w:proofErr w:type="gramStart"/>
      <w:r>
        <w:t>to be similar</w:t>
      </w:r>
      <w:proofErr w:type="gramEnd"/>
      <w:r>
        <w:t xml:space="preserve"> to autologous chondrocyte implantation (ACI) and matrix-induced autologous chondrocyte implantation (MACI). ACI/MACI </w:t>
      </w:r>
      <w:proofErr w:type="gramStart"/>
      <w:r>
        <w:t>had been previously assessed</w:t>
      </w:r>
      <w:proofErr w:type="gramEnd"/>
      <w:r>
        <w:t xml:space="preserve"> by MSAC as not suitable for public funding (MSAC Application 1140 Public Summary Document [PSD], December 2010).</w:t>
      </w:r>
    </w:p>
    <w:p w14:paraId="7217BBD0" w14:textId="04504EF0" w:rsidR="00E13CD5" w:rsidRDefault="00FA7C26" w:rsidP="00453EF2">
      <w:pPr>
        <w:keepNext/>
        <w:spacing w:before="240"/>
      </w:pPr>
      <w:r>
        <w:t>T</w:t>
      </w:r>
      <w:r w:rsidR="00467087">
        <w:t xml:space="preserve">he Prostheses List Advisory Committee (PLAC) </w:t>
      </w:r>
      <w:r w:rsidR="00B27E88">
        <w:t>recommended</w:t>
      </w:r>
      <w:r w:rsidR="00467087">
        <w:t xml:space="preserve"> a health technology assessment (HTA) via MSAC for CARGEL to determine the clinical effectiveness and cost-effectiveness of this product, and to clarify the appropriateness of MBS item 49561.</w:t>
      </w:r>
    </w:p>
    <w:p w14:paraId="1C2DB84A" w14:textId="2072DA37" w:rsidR="00E13CD5" w:rsidRDefault="00E13CD5" w:rsidP="005F38BD">
      <w:pPr>
        <w:pStyle w:val="Heading2"/>
      </w:pPr>
      <w:r>
        <w:t>Other MSAC applications for chondral defects of the knee</w:t>
      </w:r>
    </w:p>
    <w:p w14:paraId="4531E09C" w14:textId="59D36050" w:rsidR="00E13CD5" w:rsidRDefault="00E13CD5">
      <w:pPr>
        <w:keepNext/>
      </w:pPr>
      <w:r>
        <w:t xml:space="preserve">MSAC application 1140 for matrix-induced autologous chondrocyte implantation (MACI) and autologous chondrocyte implantation (ACI) </w:t>
      </w:r>
      <w:proofErr w:type="gramStart"/>
      <w:r>
        <w:t>was considered</w:t>
      </w:r>
      <w:proofErr w:type="gramEnd"/>
      <w:r>
        <w:t xml:space="preserve"> by MSAC in 2010. MSAC did</w:t>
      </w:r>
      <w:r w:rsidRPr="00E13CD5">
        <w:t xml:space="preserve"> not support public funding for </w:t>
      </w:r>
      <w:r>
        <w:t>MACI</w:t>
      </w:r>
      <w:r w:rsidRPr="00E13CD5">
        <w:t xml:space="preserve"> or </w:t>
      </w:r>
      <w:r>
        <w:t>ACI</w:t>
      </w:r>
      <w:r w:rsidRPr="00E13CD5">
        <w:t xml:space="preserve"> for the treatment of chondral defects in the </w:t>
      </w:r>
      <w:r w:rsidRPr="00E13CD5">
        <w:lastRenderedPageBreak/>
        <w:t>knee and other joints, due to the increased cost compared to existing procedures and the lack of evidence showing short term or long-term improvements in clinical outcomes</w:t>
      </w:r>
      <w:r w:rsidR="00D044BB">
        <w:t xml:space="preserve"> (</w:t>
      </w:r>
      <w:hyperlink r:id="rId11" w:history="1">
        <w:r w:rsidR="00D044BB" w:rsidRPr="00D044BB">
          <w:rPr>
            <w:rStyle w:val="Hyperlink"/>
          </w:rPr>
          <w:t>MSAC application No. 1140 Public Summary Document 2010</w:t>
        </w:r>
      </w:hyperlink>
      <w:r w:rsidR="00D044BB">
        <w:t>)</w:t>
      </w:r>
    </w:p>
    <w:p w14:paraId="00A0DCA2" w14:textId="77777777" w:rsidR="00BC1364" w:rsidRPr="00F715D1" w:rsidRDefault="00BC1364" w:rsidP="00F715D1">
      <w:pPr>
        <w:pStyle w:val="Heading1"/>
      </w:pPr>
      <w:r w:rsidRPr="00F715D1">
        <w:t>Prerequisites to implementation of any funding advice</w:t>
      </w:r>
    </w:p>
    <w:p w14:paraId="363CDEE9" w14:textId="06D774A3" w:rsidR="00467087" w:rsidRDefault="00467087" w:rsidP="00467087">
      <w:pPr>
        <w:tabs>
          <w:tab w:val="left" w:pos="720"/>
          <w:tab w:val="left" w:pos="1140"/>
        </w:tabs>
        <w:spacing w:after="120"/>
      </w:pPr>
      <w:r>
        <w:t xml:space="preserve">CARGEL is available in Australia and </w:t>
      </w:r>
      <w:proofErr w:type="gramStart"/>
      <w:r>
        <w:t>is listed</w:t>
      </w:r>
      <w:proofErr w:type="gramEnd"/>
      <w:r>
        <w:t xml:space="preserve"> on the Therapeutic Goods Administration (TGA) website under two numbers (</w:t>
      </w:r>
      <w:r w:rsidR="00453EF2" w:rsidRPr="0095363B">
        <w:rPr>
          <w:szCs w:val="24"/>
        </w:rPr>
        <w:fldChar w:fldCharType="begin"/>
      </w:r>
      <w:r w:rsidR="00453EF2" w:rsidRPr="0095363B">
        <w:rPr>
          <w:szCs w:val="24"/>
        </w:rPr>
        <w:instrText xml:space="preserve"> REF _Ref32919696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1</w:t>
      </w:r>
      <w:r w:rsidR="00453EF2" w:rsidRPr="0095363B">
        <w:rPr>
          <w:szCs w:val="24"/>
        </w:rPr>
        <w:fldChar w:fldCharType="end"/>
      </w:r>
      <w:r>
        <w:t>).</w:t>
      </w:r>
    </w:p>
    <w:p w14:paraId="584062FE" w14:textId="0443DA29" w:rsidR="00467087" w:rsidRPr="005522F7" w:rsidRDefault="00453EF2" w:rsidP="005522F7">
      <w:pPr>
        <w:spacing w:before="240"/>
        <w:rPr>
          <w:rFonts w:ascii="Arial Narrow" w:hAnsi="Arial Narrow"/>
          <w:b/>
          <w:sz w:val="20"/>
        </w:rPr>
      </w:pPr>
      <w:bookmarkStart w:id="1" w:name="_Ref32919696"/>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1</w:t>
      </w:r>
      <w:r w:rsidR="001647CA" w:rsidRPr="005522F7">
        <w:rPr>
          <w:rFonts w:ascii="Arial Narrow" w:hAnsi="Arial Narrow"/>
          <w:b/>
          <w:sz w:val="20"/>
        </w:rPr>
        <w:fldChar w:fldCharType="end"/>
      </w:r>
      <w:bookmarkEnd w:id="1"/>
      <w:r w:rsidR="00467087" w:rsidRPr="005522F7">
        <w:rPr>
          <w:rFonts w:ascii="Arial Narrow" w:hAnsi="Arial Narrow"/>
          <w:b/>
          <w:sz w:val="20"/>
        </w:rPr>
        <w:t xml:space="preserve"> Chitosan-based materials available in Australia for cartilage repair as listed on the ARTG</w:t>
      </w:r>
    </w:p>
    <w:tbl>
      <w:tblPr>
        <w:tblStyle w:val="TableGrid"/>
        <w:tblW w:w="5000" w:type="pct"/>
        <w:tblLook w:val="04A0" w:firstRow="1" w:lastRow="0" w:firstColumn="1" w:lastColumn="0" w:noHBand="0" w:noVBand="1"/>
        <w:tblCaption w:val="Table 1 Chitosan-based materials available in Australia for cartilage repair as listed on the ARTG"/>
      </w:tblPr>
      <w:tblGrid>
        <w:gridCol w:w="1439"/>
        <w:gridCol w:w="2826"/>
        <w:gridCol w:w="1057"/>
        <w:gridCol w:w="1251"/>
        <w:gridCol w:w="2443"/>
      </w:tblGrid>
      <w:tr w:rsidR="00467087" w14:paraId="6257857C" w14:textId="77777777" w:rsidTr="00891804">
        <w:trPr>
          <w:tblHeader/>
        </w:trPr>
        <w:tc>
          <w:tcPr>
            <w:tcW w:w="798" w:type="pct"/>
            <w:tcBorders>
              <w:top w:val="single" w:sz="4" w:space="0" w:color="auto"/>
              <w:left w:val="single" w:sz="4" w:space="0" w:color="auto"/>
              <w:bottom w:val="single" w:sz="4" w:space="0" w:color="auto"/>
              <w:right w:val="single" w:sz="4" w:space="0" w:color="auto"/>
            </w:tcBorders>
            <w:hideMark/>
          </w:tcPr>
          <w:p w14:paraId="3922811E" w14:textId="77777777" w:rsidR="00467087" w:rsidRDefault="00467087">
            <w:pPr>
              <w:pStyle w:val="Tabletextcentred"/>
              <w:spacing w:before="0" w:after="0"/>
              <w:jc w:val="left"/>
              <w:rPr>
                <w:b/>
              </w:rPr>
            </w:pPr>
            <w:r>
              <w:rPr>
                <w:b/>
              </w:rPr>
              <w:t>Registered Item</w:t>
            </w:r>
          </w:p>
        </w:tc>
        <w:tc>
          <w:tcPr>
            <w:tcW w:w="1567" w:type="pct"/>
            <w:tcBorders>
              <w:top w:val="single" w:sz="4" w:space="0" w:color="auto"/>
              <w:left w:val="single" w:sz="4" w:space="0" w:color="auto"/>
              <w:bottom w:val="single" w:sz="4" w:space="0" w:color="auto"/>
              <w:right w:val="single" w:sz="4" w:space="0" w:color="auto"/>
            </w:tcBorders>
            <w:hideMark/>
          </w:tcPr>
          <w:p w14:paraId="7BC02360" w14:textId="77777777" w:rsidR="00467087" w:rsidRDefault="00467087">
            <w:pPr>
              <w:pStyle w:val="Tabletextcentred"/>
              <w:spacing w:before="0" w:after="0"/>
              <w:jc w:val="left"/>
              <w:rPr>
                <w:b/>
              </w:rPr>
            </w:pPr>
            <w:r>
              <w:rPr>
                <w:b/>
              </w:rPr>
              <w:t>Manufacturer</w:t>
            </w:r>
          </w:p>
        </w:tc>
        <w:tc>
          <w:tcPr>
            <w:tcW w:w="586" w:type="pct"/>
            <w:tcBorders>
              <w:top w:val="single" w:sz="4" w:space="0" w:color="auto"/>
              <w:left w:val="single" w:sz="4" w:space="0" w:color="auto"/>
              <w:bottom w:val="single" w:sz="4" w:space="0" w:color="auto"/>
              <w:right w:val="single" w:sz="4" w:space="0" w:color="auto"/>
            </w:tcBorders>
            <w:hideMark/>
          </w:tcPr>
          <w:p w14:paraId="151A2505" w14:textId="77777777" w:rsidR="00467087" w:rsidRDefault="00467087">
            <w:pPr>
              <w:pStyle w:val="Tabletextcentred"/>
              <w:spacing w:before="0" w:after="0"/>
              <w:jc w:val="left"/>
              <w:rPr>
                <w:b/>
              </w:rPr>
            </w:pPr>
            <w:r>
              <w:rPr>
                <w:b/>
              </w:rPr>
              <w:t>ARTG number</w:t>
            </w:r>
          </w:p>
        </w:tc>
        <w:tc>
          <w:tcPr>
            <w:tcW w:w="694" w:type="pct"/>
            <w:tcBorders>
              <w:top w:val="single" w:sz="4" w:space="0" w:color="auto"/>
              <w:left w:val="single" w:sz="4" w:space="0" w:color="auto"/>
              <w:bottom w:val="single" w:sz="4" w:space="0" w:color="auto"/>
              <w:right w:val="single" w:sz="4" w:space="0" w:color="auto"/>
            </w:tcBorders>
            <w:hideMark/>
          </w:tcPr>
          <w:p w14:paraId="270AF022" w14:textId="77777777" w:rsidR="00467087" w:rsidRDefault="00467087">
            <w:pPr>
              <w:pStyle w:val="Tabletextcentred"/>
              <w:spacing w:before="0" w:after="0"/>
              <w:jc w:val="left"/>
              <w:rPr>
                <w:b/>
              </w:rPr>
            </w:pPr>
            <w:r>
              <w:rPr>
                <w:b/>
              </w:rPr>
              <w:t>Date of introduction</w:t>
            </w:r>
          </w:p>
        </w:tc>
        <w:tc>
          <w:tcPr>
            <w:tcW w:w="1355" w:type="pct"/>
            <w:tcBorders>
              <w:top w:val="single" w:sz="4" w:space="0" w:color="auto"/>
              <w:left w:val="single" w:sz="4" w:space="0" w:color="auto"/>
              <w:bottom w:val="single" w:sz="4" w:space="0" w:color="auto"/>
              <w:right w:val="single" w:sz="4" w:space="0" w:color="auto"/>
            </w:tcBorders>
            <w:hideMark/>
          </w:tcPr>
          <w:p w14:paraId="69AB0E7B" w14:textId="77777777" w:rsidR="00467087" w:rsidRDefault="00467087">
            <w:pPr>
              <w:pStyle w:val="Tabletextcentred"/>
              <w:spacing w:before="0" w:after="0"/>
              <w:jc w:val="left"/>
              <w:rPr>
                <w:b/>
              </w:rPr>
            </w:pPr>
            <w:r>
              <w:rPr>
                <w:b/>
              </w:rPr>
              <w:t>Device category</w:t>
            </w:r>
          </w:p>
        </w:tc>
      </w:tr>
      <w:tr w:rsidR="00467087" w14:paraId="28EC73A7" w14:textId="77777777" w:rsidTr="00467087">
        <w:tc>
          <w:tcPr>
            <w:tcW w:w="798" w:type="pct"/>
            <w:tcBorders>
              <w:top w:val="single" w:sz="4" w:space="0" w:color="auto"/>
              <w:left w:val="single" w:sz="4" w:space="0" w:color="auto"/>
              <w:bottom w:val="single" w:sz="4" w:space="0" w:color="auto"/>
              <w:right w:val="single" w:sz="4" w:space="0" w:color="auto"/>
            </w:tcBorders>
            <w:hideMark/>
          </w:tcPr>
          <w:p w14:paraId="52A8C91A" w14:textId="77777777" w:rsidR="00467087" w:rsidRDefault="00467087">
            <w:pPr>
              <w:pStyle w:val="Tabletextcentred"/>
              <w:spacing w:before="0" w:after="0"/>
              <w:jc w:val="left"/>
            </w:pPr>
            <w:r>
              <w:t>CARGEL – Cartilage biomatrix implant</w:t>
            </w:r>
          </w:p>
        </w:tc>
        <w:tc>
          <w:tcPr>
            <w:tcW w:w="1567" w:type="pct"/>
            <w:tcBorders>
              <w:top w:val="single" w:sz="4" w:space="0" w:color="auto"/>
              <w:left w:val="single" w:sz="4" w:space="0" w:color="auto"/>
              <w:bottom w:val="single" w:sz="4" w:space="0" w:color="auto"/>
              <w:right w:val="single" w:sz="4" w:space="0" w:color="auto"/>
            </w:tcBorders>
            <w:hideMark/>
          </w:tcPr>
          <w:p w14:paraId="3037C93B" w14:textId="77777777" w:rsidR="00467087" w:rsidRDefault="00467087">
            <w:pPr>
              <w:pStyle w:val="Tabletextcentred"/>
              <w:spacing w:before="0" w:after="0"/>
              <w:jc w:val="left"/>
            </w:pPr>
            <w:r>
              <w:t xml:space="preserve">Smith &amp; Nephew, </w:t>
            </w:r>
            <w:proofErr w:type="spellStart"/>
            <w:r>
              <w:t>Inc</w:t>
            </w:r>
            <w:proofErr w:type="spellEnd"/>
            <w:r>
              <w:t xml:space="preserve"> Endoscopy Division (Andover, MA, USA)</w:t>
            </w:r>
          </w:p>
        </w:tc>
        <w:tc>
          <w:tcPr>
            <w:tcW w:w="586" w:type="pct"/>
            <w:tcBorders>
              <w:top w:val="single" w:sz="4" w:space="0" w:color="auto"/>
              <w:left w:val="single" w:sz="4" w:space="0" w:color="auto"/>
              <w:bottom w:val="single" w:sz="4" w:space="0" w:color="auto"/>
              <w:right w:val="single" w:sz="4" w:space="0" w:color="auto"/>
            </w:tcBorders>
            <w:hideMark/>
          </w:tcPr>
          <w:p w14:paraId="672FADA7" w14:textId="77777777" w:rsidR="00467087" w:rsidRDefault="00467087">
            <w:pPr>
              <w:pStyle w:val="Tabletextcentred"/>
              <w:spacing w:before="0" w:after="0"/>
              <w:jc w:val="left"/>
            </w:pPr>
            <w:r>
              <w:t>298453</w:t>
            </w:r>
          </w:p>
        </w:tc>
        <w:tc>
          <w:tcPr>
            <w:tcW w:w="694" w:type="pct"/>
            <w:tcBorders>
              <w:top w:val="single" w:sz="4" w:space="0" w:color="auto"/>
              <w:left w:val="single" w:sz="4" w:space="0" w:color="auto"/>
              <w:bottom w:val="single" w:sz="4" w:space="0" w:color="auto"/>
              <w:right w:val="single" w:sz="4" w:space="0" w:color="auto"/>
            </w:tcBorders>
            <w:hideMark/>
          </w:tcPr>
          <w:p w14:paraId="2B25DBFA" w14:textId="77777777" w:rsidR="00467087" w:rsidRDefault="00467087">
            <w:pPr>
              <w:pStyle w:val="Tabletextcentred"/>
              <w:spacing w:before="0" w:after="0"/>
              <w:jc w:val="left"/>
            </w:pPr>
            <w:r>
              <w:t>11/01/2018</w:t>
            </w:r>
          </w:p>
        </w:tc>
        <w:tc>
          <w:tcPr>
            <w:tcW w:w="1355" w:type="pct"/>
            <w:tcBorders>
              <w:top w:val="single" w:sz="4" w:space="0" w:color="auto"/>
              <w:left w:val="single" w:sz="4" w:space="0" w:color="auto"/>
              <w:bottom w:val="single" w:sz="4" w:space="0" w:color="auto"/>
              <w:right w:val="single" w:sz="4" w:space="0" w:color="auto"/>
            </w:tcBorders>
            <w:hideMark/>
          </w:tcPr>
          <w:p w14:paraId="6674C668" w14:textId="77777777" w:rsidR="00467087" w:rsidRDefault="00467087">
            <w:pPr>
              <w:pStyle w:val="Tabletextcentred"/>
              <w:spacing w:before="0" w:after="0"/>
              <w:jc w:val="left"/>
            </w:pPr>
            <w:r>
              <w:t>Medical Device Included Class III</w:t>
            </w:r>
          </w:p>
        </w:tc>
      </w:tr>
      <w:tr w:rsidR="00467087" w14:paraId="68690A2E" w14:textId="77777777" w:rsidTr="00467087">
        <w:tc>
          <w:tcPr>
            <w:tcW w:w="798" w:type="pct"/>
            <w:tcBorders>
              <w:top w:val="single" w:sz="4" w:space="0" w:color="auto"/>
              <w:left w:val="single" w:sz="4" w:space="0" w:color="auto"/>
              <w:bottom w:val="single" w:sz="4" w:space="0" w:color="auto"/>
              <w:right w:val="single" w:sz="4" w:space="0" w:color="auto"/>
            </w:tcBorders>
            <w:hideMark/>
          </w:tcPr>
          <w:p w14:paraId="121D886A" w14:textId="77777777" w:rsidR="00467087" w:rsidRDefault="00467087">
            <w:pPr>
              <w:pStyle w:val="Tabletextcentred"/>
              <w:spacing w:before="0" w:after="0"/>
              <w:jc w:val="left"/>
            </w:pPr>
            <w:r>
              <w:t>BST-</w:t>
            </w:r>
            <w:proofErr w:type="spellStart"/>
            <w:r>
              <w:t>CarGel</w:t>
            </w:r>
            <w:proofErr w:type="spellEnd"/>
            <w:r>
              <w:t>® – Cartilage biomatrix implant</w:t>
            </w:r>
          </w:p>
        </w:tc>
        <w:tc>
          <w:tcPr>
            <w:tcW w:w="1567" w:type="pct"/>
            <w:tcBorders>
              <w:top w:val="single" w:sz="4" w:space="0" w:color="auto"/>
              <w:left w:val="single" w:sz="4" w:space="0" w:color="auto"/>
              <w:bottom w:val="single" w:sz="4" w:space="0" w:color="auto"/>
              <w:right w:val="single" w:sz="4" w:space="0" w:color="auto"/>
            </w:tcBorders>
            <w:hideMark/>
          </w:tcPr>
          <w:p w14:paraId="12070D92" w14:textId="77777777" w:rsidR="00467087" w:rsidRDefault="00467087">
            <w:pPr>
              <w:pStyle w:val="Tabletextcentred"/>
              <w:spacing w:before="0" w:after="0"/>
              <w:jc w:val="left"/>
            </w:pPr>
            <w:proofErr w:type="spellStart"/>
            <w:r>
              <w:t>Piramal</w:t>
            </w:r>
            <w:proofErr w:type="spellEnd"/>
            <w:r>
              <w:t xml:space="preserve"> Healthcare Canada Ltd, Bio-Orthopaedics Division (Quebec, Canada)</w:t>
            </w:r>
          </w:p>
        </w:tc>
        <w:tc>
          <w:tcPr>
            <w:tcW w:w="586" w:type="pct"/>
            <w:tcBorders>
              <w:top w:val="single" w:sz="4" w:space="0" w:color="auto"/>
              <w:left w:val="single" w:sz="4" w:space="0" w:color="auto"/>
              <w:bottom w:val="single" w:sz="4" w:space="0" w:color="auto"/>
              <w:right w:val="single" w:sz="4" w:space="0" w:color="auto"/>
            </w:tcBorders>
            <w:hideMark/>
          </w:tcPr>
          <w:p w14:paraId="33A06352" w14:textId="3D8561A1" w:rsidR="00467087" w:rsidRDefault="00467087">
            <w:pPr>
              <w:pStyle w:val="Tabletextcentred"/>
              <w:spacing w:before="0" w:after="0"/>
              <w:jc w:val="left"/>
            </w:pPr>
            <w:r>
              <w:t>252732</w:t>
            </w:r>
          </w:p>
        </w:tc>
        <w:tc>
          <w:tcPr>
            <w:tcW w:w="694" w:type="pct"/>
            <w:tcBorders>
              <w:top w:val="single" w:sz="4" w:space="0" w:color="auto"/>
              <w:left w:val="single" w:sz="4" w:space="0" w:color="auto"/>
              <w:bottom w:val="single" w:sz="4" w:space="0" w:color="auto"/>
              <w:right w:val="single" w:sz="4" w:space="0" w:color="auto"/>
            </w:tcBorders>
            <w:hideMark/>
          </w:tcPr>
          <w:p w14:paraId="2B0F0CFE" w14:textId="77777777" w:rsidR="00467087" w:rsidRDefault="00467087">
            <w:pPr>
              <w:pStyle w:val="Tabletextcentred"/>
              <w:spacing w:before="0" w:after="0"/>
              <w:jc w:val="left"/>
            </w:pPr>
            <w:r>
              <w:t>05/08/2015</w:t>
            </w:r>
          </w:p>
        </w:tc>
        <w:tc>
          <w:tcPr>
            <w:tcW w:w="1355" w:type="pct"/>
            <w:tcBorders>
              <w:top w:val="single" w:sz="4" w:space="0" w:color="auto"/>
              <w:left w:val="single" w:sz="4" w:space="0" w:color="auto"/>
              <w:bottom w:val="single" w:sz="4" w:space="0" w:color="auto"/>
              <w:right w:val="single" w:sz="4" w:space="0" w:color="auto"/>
            </w:tcBorders>
            <w:hideMark/>
          </w:tcPr>
          <w:p w14:paraId="7B723BB2" w14:textId="77777777" w:rsidR="00467087" w:rsidRDefault="00467087">
            <w:pPr>
              <w:pStyle w:val="Tabletextcentred"/>
              <w:spacing w:before="0" w:after="0"/>
              <w:jc w:val="left"/>
            </w:pPr>
            <w:r>
              <w:t>Medical Device Included Class III</w:t>
            </w:r>
          </w:p>
        </w:tc>
      </w:tr>
    </w:tbl>
    <w:p w14:paraId="20B883EB" w14:textId="77777777" w:rsidR="00467087" w:rsidRDefault="00467087" w:rsidP="00467087">
      <w:pPr>
        <w:pStyle w:val="Tablenotes"/>
      </w:pPr>
      <w:r>
        <w:t>Abbreviations: ARTG = Australian Register of Therapeutic Goods.</w:t>
      </w:r>
    </w:p>
    <w:p w14:paraId="61A995DA" w14:textId="77777777" w:rsidR="00467087" w:rsidRDefault="00467087" w:rsidP="00467087">
      <w:pPr>
        <w:pStyle w:val="Tablenotes"/>
      </w:pPr>
      <w:r>
        <w:t xml:space="preserve">Source: Table 12, p 39 of the Commentary </w:t>
      </w:r>
    </w:p>
    <w:p w14:paraId="41E6B0F9" w14:textId="77777777" w:rsidR="00BC1364" w:rsidRPr="00F715D1" w:rsidRDefault="00BC1364" w:rsidP="00F715D1">
      <w:pPr>
        <w:pStyle w:val="Heading1"/>
      </w:pPr>
      <w:r w:rsidRPr="00F715D1">
        <w:t>Proposal for public funding</w:t>
      </w:r>
    </w:p>
    <w:p w14:paraId="4E60F2FA" w14:textId="4440FB57" w:rsidR="00467087" w:rsidRDefault="00467087" w:rsidP="00467087">
      <w:r>
        <w:t xml:space="preserve">The Applicant is committed to working with the Department to finalise a suitable item descriptor dependent on the preferred approach (new MBS item code, as suggested by PASC </w:t>
      </w:r>
      <w:r w:rsidRPr="0095363B">
        <w:rPr>
          <w:szCs w:val="24"/>
        </w:rPr>
        <w:t>[</w:t>
      </w:r>
      <w:r w:rsidR="00453EF2" w:rsidRPr="0095363B">
        <w:rPr>
          <w:szCs w:val="24"/>
        </w:rPr>
        <w:fldChar w:fldCharType="begin"/>
      </w:r>
      <w:r w:rsidR="00453EF2" w:rsidRPr="0095363B">
        <w:rPr>
          <w:szCs w:val="24"/>
        </w:rPr>
        <w:instrText xml:space="preserve"> REF _Ref50386736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2</w:t>
      </w:r>
      <w:r w:rsidR="00453EF2" w:rsidRPr="0095363B">
        <w:rPr>
          <w:szCs w:val="24"/>
        </w:rPr>
        <w:fldChar w:fldCharType="end"/>
      </w:r>
      <w:r>
        <w:t>], amended MBS item code, or unchanged MBS item code). The ADAR stated that the proposed fee for this service is identical to that of existing MBS item 49561.</w:t>
      </w:r>
      <w:bookmarkStart w:id="2" w:name="_Ref37755809"/>
      <w:bookmarkStart w:id="3" w:name="_Toc399251120"/>
    </w:p>
    <w:p w14:paraId="78563F60" w14:textId="249BD894" w:rsidR="00467087" w:rsidRPr="005522F7" w:rsidRDefault="00453EF2" w:rsidP="005522F7">
      <w:pPr>
        <w:spacing w:before="240"/>
        <w:rPr>
          <w:rFonts w:ascii="Arial Narrow" w:hAnsi="Arial Narrow"/>
          <w:b/>
          <w:sz w:val="20"/>
        </w:rPr>
      </w:pPr>
      <w:bookmarkStart w:id="4" w:name="_Ref50386736"/>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2</w:t>
      </w:r>
      <w:r w:rsidR="001647CA" w:rsidRPr="005522F7">
        <w:rPr>
          <w:rFonts w:ascii="Arial Narrow" w:hAnsi="Arial Narrow"/>
          <w:b/>
          <w:sz w:val="20"/>
        </w:rPr>
        <w:fldChar w:fldCharType="end"/>
      </w:r>
      <w:bookmarkEnd w:id="2"/>
      <w:bookmarkEnd w:id="4"/>
      <w:r w:rsidR="00467087" w:rsidRPr="005522F7">
        <w:rPr>
          <w:rFonts w:ascii="Arial Narrow" w:hAnsi="Arial Narrow"/>
          <w:b/>
          <w:sz w:val="20"/>
        </w:rPr>
        <w:tab/>
        <w:t>Proposed MBS item descriptor</w:t>
      </w:r>
      <w:bookmarkEnd w:id="3"/>
    </w:p>
    <w:tbl>
      <w:tblPr>
        <w:tblStyle w:val="TableGrid"/>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467087" w14:paraId="2F426FC1" w14:textId="77777777" w:rsidTr="00CA24F3">
        <w:trPr>
          <w:tblHeader/>
        </w:trPr>
        <w:tc>
          <w:tcPr>
            <w:tcW w:w="9021" w:type="dxa"/>
            <w:hideMark/>
          </w:tcPr>
          <w:p w14:paraId="1FCA4EEC" w14:textId="77777777" w:rsidR="00467087" w:rsidRDefault="00467087">
            <w:pPr>
              <w:pStyle w:val="Tabletext0"/>
              <w:spacing w:line="276" w:lineRule="auto"/>
            </w:pPr>
            <w:r>
              <w:t>Category 3 – Therapeutic procedures</w:t>
            </w:r>
          </w:p>
        </w:tc>
      </w:tr>
      <w:tr w:rsidR="00467087" w14:paraId="727133D9" w14:textId="77777777" w:rsidTr="00CA24F3">
        <w:tc>
          <w:tcPr>
            <w:tcW w:w="9021" w:type="dxa"/>
            <w:hideMark/>
          </w:tcPr>
          <w:p w14:paraId="22C6058C" w14:textId="77777777" w:rsidR="00467087" w:rsidRDefault="00467087">
            <w:pPr>
              <w:pStyle w:val="Tabletext0"/>
              <w:spacing w:line="276" w:lineRule="auto"/>
            </w:pPr>
            <w:r>
              <w:t>MBS item #####</w:t>
            </w:r>
          </w:p>
          <w:p w14:paraId="21CF9BCF" w14:textId="77777777" w:rsidR="00467087" w:rsidRDefault="00467087">
            <w:pPr>
              <w:pStyle w:val="Tabletext0"/>
              <w:spacing w:line="276" w:lineRule="auto"/>
            </w:pPr>
            <w:r>
              <w:t>Arthroscopic surgery including application of chitosan-based cartilage biomatrix implant in conjunction with microfracture</w:t>
            </w:r>
          </w:p>
          <w:p w14:paraId="349926C5" w14:textId="77777777" w:rsidR="00467087" w:rsidRDefault="00467087">
            <w:pPr>
              <w:pStyle w:val="Tabletext0"/>
              <w:spacing w:line="276" w:lineRule="auto"/>
            </w:pPr>
            <w:r>
              <w:t xml:space="preserve">Fee: $684.80 Benefit 75% = </w:t>
            </w:r>
            <w:r>
              <w:rPr>
                <w:rFonts w:cs="Helvetica"/>
                <w:color w:val="222222"/>
              </w:rPr>
              <w:t>$$513.60</w:t>
            </w:r>
          </w:p>
        </w:tc>
      </w:tr>
    </w:tbl>
    <w:p w14:paraId="7BDEF554" w14:textId="77777777" w:rsidR="00467087" w:rsidRDefault="00467087" w:rsidP="00467087">
      <w:pPr>
        <w:pStyle w:val="Tablenotes1"/>
      </w:pPr>
      <w:r>
        <w:t>Source: Table 1, p17 of the ADAR</w:t>
      </w:r>
    </w:p>
    <w:p w14:paraId="33768E21"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66375024" w14:textId="79D4AA71" w:rsidR="00467087" w:rsidRDefault="000C3D2D" w:rsidP="00467087">
      <w:r>
        <w:t xml:space="preserve">Consultation feedback was received from one clinician which advised that MF has been discredited as a therapeutic procedure as it is destructive, damaging and reduces the effectiveness of other treatments. The feedback also indicated that this view </w:t>
      </w:r>
      <w:proofErr w:type="gramStart"/>
      <w:r>
        <w:t>is supported</w:t>
      </w:r>
      <w:proofErr w:type="gramEnd"/>
      <w:r>
        <w:t xml:space="preserve"> in the recent scientific literature but no citations</w:t>
      </w:r>
      <w:r w:rsidR="002C51A3">
        <w:t xml:space="preserve"> were provided</w:t>
      </w:r>
      <w:r>
        <w:t>.</w:t>
      </w:r>
    </w:p>
    <w:p w14:paraId="730A7235" w14:textId="77777777" w:rsidR="00BC1364" w:rsidRPr="00F715D1" w:rsidRDefault="00BC1364" w:rsidP="00F715D1">
      <w:pPr>
        <w:pStyle w:val="Heading1"/>
      </w:pPr>
      <w:r w:rsidRPr="00F715D1">
        <w:t>Proposed intervention’s place in clinical management</w:t>
      </w:r>
    </w:p>
    <w:p w14:paraId="72CC4221" w14:textId="77777777" w:rsidR="00CF4E81" w:rsidRDefault="00CF4E81" w:rsidP="00467087">
      <w:pPr>
        <w:rPr>
          <w:b/>
          <w:szCs w:val="24"/>
        </w:rPr>
      </w:pPr>
      <w:r w:rsidRPr="00CF4E81">
        <w:rPr>
          <w:b/>
          <w:szCs w:val="24"/>
        </w:rPr>
        <w:t>Description of Proposed Intervention</w:t>
      </w:r>
    </w:p>
    <w:p w14:paraId="4423CDA3" w14:textId="2B22F326" w:rsidR="00467087" w:rsidRPr="00453EF2" w:rsidRDefault="00467087" w:rsidP="00467087">
      <w:r>
        <w:t xml:space="preserve">The proposed medical service is insertion of CARGEL, in conjunction with the marrow stimulation technique (i.e. MF) for repair of focal cartilage defects. Using an arthroscopic awl, multiple holes or </w:t>
      </w:r>
      <w:proofErr w:type="spellStart"/>
      <w:r>
        <w:t>microfractures</w:t>
      </w:r>
      <w:proofErr w:type="spellEnd"/>
      <w:r>
        <w:t xml:space="preserve"> </w:t>
      </w:r>
      <w:proofErr w:type="gramStart"/>
      <w:r>
        <w:t>are made</w:t>
      </w:r>
      <w:proofErr w:type="gramEnd"/>
      <w:r>
        <w:t xml:space="preserve"> in the defect 3–4 mm apart. CARGEL </w:t>
      </w:r>
      <w:proofErr w:type="gramStart"/>
      <w:r>
        <w:t>is mixed</w:t>
      </w:r>
      <w:proofErr w:type="gramEnd"/>
      <w:r>
        <w:t xml:space="preserve"> with autologous whole blood and is applied to the </w:t>
      </w:r>
      <w:proofErr w:type="spellStart"/>
      <w:r>
        <w:t>microfractured</w:t>
      </w:r>
      <w:proofErr w:type="spellEnd"/>
      <w:r>
        <w:t xml:space="preserve"> cartilage lesion, where it physically stabilises the clot and guides and enhances marrow-derived repair to promote hyaline cartilage regeneration. The patient receives the procedure under general anaesthesia, as an inpatient (admitted patient) in a public or private hospital with patients </w:t>
      </w:r>
      <w:r>
        <w:lastRenderedPageBreak/>
        <w:t>staying overnight, or as an admitted patient at a day surgery centre (</w:t>
      </w:r>
      <w:proofErr w:type="spellStart"/>
      <w:r>
        <w:t>Stanish</w:t>
      </w:r>
      <w:proofErr w:type="spellEnd"/>
      <w:r>
        <w:t xml:space="preserve"> 2013</w:t>
      </w:r>
      <w:r>
        <w:rPr>
          <w:rStyle w:val="FootnoteReference"/>
        </w:rPr>
        <w:footnoteReference w:id="3"/>
      </w:r>
      <w:r>
        <w:t xml:space="preserve">). </w:t>
      </w:r>
      <w:proofErr w:type="gramStart"/>
      <w:r>
        <w:t>The procedure is performed by orthopaedic surgeons</w:t>
      </w:r>
      <w:proofErr w:type="gramEnd"/>
      <w:r>
        <w:t>.</w:t>
      </w:r>
    </w:p>
    <w:p w14:paraId="2C94D21D" w14:textId="77777777" w:rsidR="00CF4E81" w:rsidRDefault="00CF4E81" w:rsidP="00453EF2">
      <w:pPr>
        <w:autoSpaceDE w:val="0"/>
        <w:autoSpaceDN w:val="0"/>
        <w:adjustRightInd w:val="0"/>
        <w:spacing w:before="240"/>
        <w:rPr>
          <w:b/>
        </w:rPr>
      </w:pPr>
      <w:r w:rsidRPr="00CF4E81">
        <w:rPr>
          <w:b/>
        </w:rPr>
        <w:t>Description of Medical Condition(s)</w:t>
      </w:r>
    </w:p>
    <w:p w14:paraId="09255D85" w14:textId="2E352229" w:rsidR="00467087" w:rsidRDefault="00423D55" w:rsidP="00467087">
      <w:r>
        <w:t>C</w:t>
      </w:r>
      <w:r w:rsidRPr="002E03B2">
        <w:t>linical workup is</w:t>
      </w:r>
      <w:r>
        <w:t xml:space="preserve"> required</w:t>
      </w:r>
      <w:r w:rsidRPr="002E03B2">
        <w:t xml:space="preserve"> to distinguish focal lesions of the articular surface from degeneration of cartilage occurring </w:t>
      </w:r>
      <w:proofErr w:type="gramStart"/>
      <w:r w:rsidRPr="002E03B2">
        <w:t>as a consequence</w:t>
      </w:r>
      <w:proofErr w:type="gramEnd"/>
      <w:r w:rsidRPr="002E03B2">
        <w:t xml:space="preserve"> of osteoarthritis</w:t>
      </w:r>
      <w:r>
        <w:t>.</w:t>
      </w:r>
      <w:r w:rsidRPr="002E03B2">
        <w:t xml:space="preserve"> </w:t>
      </w:r>
      <w:r w:rsidR="00467087">
        <w:t xml:space="preserve">Articular cartilage lesions are predominantly present in weight-bearing joints such as knees and ankles and </w:t>
      </w:r>
      <w:proofErr w:type="gramStart"/>
      <w:r w:rsidR="00467087">
        <w:t>are usually caused</w:t>
      </w:r>
      <w:proofErr w:type="gramEnd"/>
      <w:r w:rsidR="00467087">
        <w:t xml:space="preserve"> by traumatic injury</w:t>
      </w:r>
      <w:r>
        <w:t xml:space="preserve"> (</w:t>
      </w:r>
      <w:proofErr w:type="spellStart"/>
      <w:r w:rsidRPr="00F0306C">
        <w:rPr>
          <w:rFonts w:cs="Calibri"/>
        </w:rPr>
        <w:t>Å</w:t>
      </w:r>
      <w:r w:rsidRPr="00F0306C">
        <w:t>r</w:t>
      </w:r>
      <w:r w:rsidRPr="00F0306C">
        <w:rPr>
          <w:rFonts w:cs="Calibri"/>
        </w:rPr>
        <w:t>ø</w:t>
      </w:r>
      <w:r w:rsidRPr="00F0306C">
        <w:t>en</w:t>
      </w:r>
      <w:proofErr w:type="spellEnd"/>
      <w:r w:rsidRPr="00F0306C">
        <w:t xml:space="preserve"> et al. 2004</w:t>
      </w:r>
      <w:r>
        <w:rPr>
          <w:rStyle w:val="FootnoteReference"/>
        </w:rPr>
        <w:footnoteReference w:id="4"/>
      </w:r>
      <w:r>
        <w:t>)</w:t>
      </w:r>
      <w:r w:rsidR="00467087">
        <w:t xml:space="preserve">. Chondral lesions </w:t>
      </w:r>
      <w:proofErr w:type="gramStart"/>
      <w:r w:rsidR="00467087">
        <w:t>are usually observed</w:t>
      </w:r>
      <w:proofErr w:type="gramEnd"/>
      <w:r w:rsidR="00467087">
        <w:t xml:space="preserve"> in 11% to 66% of the knee arthroscopies conducted.</w:t>
      </w:r>
    </w:p>
    <w:p w14:paraId="79816CBD" w14:textId="77777777" w:rsidR="00467087" w:rsidRDefault="00467087" w:rsidP="00453EF2">
      <w:pPr>
        <w:spacing w:before="240"/>
      </w:pPr>
      <w:r>
        <w:t>The population described in the ratified PICO confirmation comprises two subpopulations:</w:t>
      </w:r>
    </w:p>
    <w:p w14:paraId="75357C0D" w14:textId="77777777" w:rsidR="00467087" w:rsidRDefault="00467087" w:rsidP="00467087">
      <w:pPr>
        <w:pStyle w:val="ListParagraph"/>
        <w:numPr>
          <w:ilvl w:val="0"/>
          <w:numId w:val="26"/>
        </w:numPr>
      </w:pPr>
      <w:r>
        <w:t>Population 1: patients presenting symptomatic (i.e. moderate knee pain) and radiologically confirmed grade 3 and grade 4 lesions of either &lt; 2 cm</w:t>
      </w:r>
      <w:r>
        <w:rPr>
          <w:vertAlign w:val="superscript"/>
        </w:rPr>
        <w:t>2</w:t>
      </w:r>
      <w:r>
        <w:t xml:space="preserve">; or </w:t>
      </w:r>
    </w:p>
    <w:p w14:paraId="30340EEA" w14:textId="4F3E82F5" w:rsidR="00467087" w:rsidRDefault="00467087" w:rsidP="00467087">
      <w:pPr>
        <w:pStyle w:val="ListParagraph"/>
        <w:numPr>
          <w:ilvl w:val="0"/>
          <w:numId w:val="26"/>
        </w:numPr>
      </w:pPr>
      <w:r>
        <w:t xml:space="preserve">Population 2: patients presenting symptomatic and radiologically confirmed grade </w:t>
      </w:r>
      <w:proofErr w:type="gramStart"/>
      <w:r>
        <w:t>3</w:t>
      </w:r>
      <w:proofErr w:type="gramEnd"/>
      <w:r>
        <w:t xml:space="preserve"> and grade 4 lesions of ≥ 2 cm</w:t>
      </w:r>
      <w:r>
        <w:rPr>
          <w:vertAlign w:val="superscript"/>
        </w:rPr>
        <w:t>2</w:t>
      </w:r>
      <w:r>
        <w:t xml:space="preserve"> in size with intact subchondral end-plate.</w:t>
      </w:r>
    </w:p>
    <w:p w14:paraId="582CEAE4" w14:textId="77777777" w:rsidR="00467087" w:rsidRDefault="00467087" w:rsidP="00453EF2">
      <w:pPr>
        <w:spacing w:before="240"/>
      </w:pPr>
      <w:r>
        <w:t xml:space="preserve">Patients </w:t>
      </w:r>
      <w:proofErr w:type="gramStart"/>
      <w:r>
        <w:t>were excluded</w:t>
      </w:r>
      <w:proofErr w:type="gramEnd"/>
      <w:r>
        <w:t xml:space="preserve"> from the PICO ratified population if they presented:</w:t>
      </w:r>
    </w:p>
    <w:p w14:paraId="4E3C1C65" w14:textId="77777777" w:rsidR="00467087" w:rsidRDefault="00467087" w:rsidP="00467087">
      <w:pPr>
        <w:pStyle w:val="ListParagraph"/>
        <w:numPr>
          <w:ilvl w:val="0"/>
          <w:numId w:val="27"/>
        </w:numPr>
      </w:pPr>
      <w:r>
        <w:t>lesions ≥ 2 cm</w:t>
      </w:r>
      <w:r>
        <w:rPr>
          <w:vertAlign w:val="superscript"/>
        </w:rPr>
        <w:t>2</w:t>
      </w:r>
      <w:r>
        <w:t xml:space="preserve"> and damaged subchondral end-plate; OR</w:t>
      </w:r>
    </w:p>
    <w:p w14:paraId="731A3A49" w14:textId="77777777" w:rsidR="00467087" w:rsidRDefault="00467087" w:rsidP="00467087">
      <w:pPr>
        <w:pStyle w:val="ListParagraph"/>
        <w:numPr>
          <w:ilvl w:val="0"/>
          <w:numId w:val="27"/>
        </w:numPr>
      </w:pPr>
      <w:r>
        <w:t>proven advanced osteoarthritis either in the targeted joint or generalised; OR</w:t>
      </w:r>
    </w:p>
    <w:p w14:paraId="503AFC6D" w14:textId="77777777" w:rsidR="00467087" w:rsidRDefault="00467087" w:rsidP="00467087">
      <w:pPr>
        <w:pStyle w:val="ListParagraph"/>
        <w:numPr>
          <w:ilvl w:val="0"/>
          <w:numId w:val="27"/>
        </w:numPr>
      </w:pPr>
      <w:r>
        <w:t xml:space="preserve">inflammatory </w:t>
      </w:r>
      <w:proofErr w:type="spellStart"/>
      <w:r>
        <w:t>arthropathy</w:t>
      </w:r>
      <w:proofErr w:type="spellEnd"/>
      <w:r>
        <w:t xml:space="preserve"> such as rheumatoid arthritis or psoriatic arthritis; OR</w:t>
      </w:r>
    </w:p>
    <w:p w14:paraId="5B1B662E" w14:textId="44FF2689" w:rsidR="00467087" w:rsidRPr="00453EF2" w:rsidRDefault="00467087" w:rsidP="00453EF2">
      <w:pPr>
        <w:pStyle w:val="ListParagraph"/>
        <w:numPr>
          <w:ilvl w:val="0"/>
          <w:numId w:val="27"/>
        </w:numPr>
      </w:pPr>
      <w:proofErr w:type="gramStart"/>
      <w:r>
        <w:t>a</w:t>
      </w:r>
      <w:proofErr w:type="gramEnd"/>
      <w:r>
        <w:t xml:space="preserve"> pre-existing significant articular instability such as ligament injury.</w:t>
      </w:r>
    </w:p>
    <w:p w14:paraId="452BEA13" w14:textId="77777777" w:rsidR="00467087" w:rsidRPr="00467087" w:rsidRDefault="00467087" w:rsidP="00453EF2">
      <w:pPr>
        <w:autoSpaceDE w:val="0"/>
        <w:autoSpaceDN w:val="0"/>
        <w:adjustRightInd w:val="0"/>
        <w:spacing w:before="240"/>
        <w:rPr>
          <w:b/>
        </w:rPr>
      </w:pPr>
      <w:r>
        <w:rPr>
          <w:b/>
        </w:rPr>
        <w:t>Place in clinical management</w:t>
      </w:r>
    </w:p>
    <w:p w14:paraId="7FC0C308" w14:textId="187207FD" w:rsidR="00453EF2" w:rsidRDefault="00467087" w:rsidP="00453EF2">
      <w:pPr>
        <w:spacing w:after="240"/>
      </w:pPr>
      <w:r>
        <w:t xml:space="preserve">There are no official clinical guidelines in Australia for the management of chondral injuries. The current and proposed clinical management algorithm </w:t>
      </w:r>
      <w:proofErr w:type="gramStart"/>
      <w:r>
        <w:t>is provided</w:t>
      </w:r>
      <w:proofErr w:type="gramEnd"/>
      <w:r>
        <w:t xml:space="preserve"> in </w:t>
      </w:r>
      <w:r w:rsidR="00453EF2" w:rsidRPr="0095363B">
        <w:rPr>
          <w:szCs w:val="24"/>
        </w:rPr>
        <w:fldChar w:fldCharType="begin"/>
      </w:r>
      <w:r w:rsidR="00453EF2" w:rsidRPr="0095363B">
        <w:rPr>
          <w:szCs w:val="24"/>
        </w:rPr>
        <w:instrText xml:space="preserve"> REF _Ref30154426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Figure </w:t>
      </w:r>
      <w:r w:rsidR="0095363B" w:rsidRPr="0095363B">
        <w:rPr>
          <w:noProof/>
          <w:szCs w:val="24"/>
        </w:rPr>
        <w:t>1</w:t>
      </w:r>
      <w:r w:rsidR="00453EF2" w:rsidRPr="0095363B">
        <w:rPr>
          <w:szCs w:val="24"/>
        </w:rPr>
        <w:fldChar w:fldCharType="end"/>
      </w:r>
      <w:r>
        <w:t>.</w:t>
      </w:r>
      <w:r w:rsidR="00453EF2">
        <w:br w:type="page"/>
      </w:r>
    </w:p>
    <w:p w14:paraId="6DF1CEAD" w14:textId="77777777" w:rsidR="00467087" w:rsidRDefault="00467087" w:rsidP="00467087">
      <w:r>
        <w:rPr>
          <w:noProof/>
        </w:rPr>
        <w:lastRenderedPageBreak/>
        <w:drawing>
          <wp:inline distT="0" distB="0" distL="0" distR="0" wp14:anchorId="04473A66" wp14:editId="00E8A7BE">
            <wp:extent cx="5543550" cy="3115306"/>
            <wp:effectExtent l="0" t="0" r="0" b="9525"/>
            <wp:docPr id="1" name="Picture 1" descr="Current and proposed clinical management algorithm " 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6980" cy="3122854"/>
                    </a:xfrm>
                    <a:prstGeom prst="rect">
                      <a:avLst/>
                    </a:prstGeom>
                    <a:noFill/>
                    <a:ln>
                      <a:noFill/>
                    </a:ln>
                  </pic:spPr>
                </pic:pic>
              </a:graphicData>
            </a:graphic>
          </wp:inline>
        </w:drawing>
      </w:r>
    </w:p>
    <w:p w14:paraId="7092AE71" w14:textId="7A443CAD" w:rsidR="00467087" w:rsidRPr="005522F7" w:rsidRDefault="00453EF2" w:rsidP="005522F7">
      <w:pPr>
        <w:rPr>
          <w:rFonts w:ascii="Arial Narrow" w:hAnsi="Arial Narrow"/>
          <w:b/>
          <w:sz w:val="20"/>
        </w:rPr>
      </w:pPr>
      <w:bookmarkStart w:id="5" w:name="_Ref30154426"/>
      <w:bookmarkStart w:id="6" w:name="_Toc31872833"/>
      <w:r w:rsidRPr="005522F7">
        <w:rPr>
          <w:rFonts w:ascii="Arial Narrow" w:hAnsi="Arial Narrow"/>
          <w:b/>
          <w:sz w:val="20"/>
        </w:rPr>
        <w:t xml:space="preserve">Figure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Figure \* ARABIC </w:instrText>
      </w:r>
      <w:r w:rsidR="001647CA" w:rsidRPr="005522F7">
        <w:rPr>
          <w:rFonts w:ascii="Arial Narrow" w:hAnsi="Arial Narrow"/>
          <w:b/>
          <w:sz w:val="20"/>
        </w:rPr>
        <w:fldChar w:fldCharType="separate"/>
      </w:r>
      <w:r w:rsidR="0095363B">
        <w:rPr>
          <w:rFonts w:ascii="Arial Narrow" w:hAnsi="Arial Narrow"/>
          <w:b/>
          <w:noProof/>
          <w:sz w:val="20"/>
        </w:rPr>
        <w:t>1</w:t>
      </w:r>
      <w:r w:rsidR="001647CA" w:rsidRPr="005522F7">
        <w:rPr>
          <w:rFonts w:ascii="Arial Narrow" w:hAnsi="Arial Narrow"/>
          <w:b/>
          <w:sz w:val="20"/>
        </w:rPr>
        <w:fldChar w:fldCharType="end"/>
      </w:r>
      <w:bookmarkEnd w:id="5"/>
      <w:r w:rsidR="00467087" w:rsidRPr="005522F7">
        <w:rPr>
          <w:rFonts w:ascii="Arial Narrow" w:hAnsi="Arial Narrow"/>
          <w:b/>
          <w:sz w:val="20"/>
        </w:rPr>
        <w:t xml:space="preserve"> Current and proposed clinical management algorithm</w:t>
      </w:r>
      <w:bookmarkEnd w:id="6"/>
      <w:r w:rsidR="00467087" w:rsidRPr="005522F7">
        <w:rPr>
          <w:rFonts w:ascii="Arial Narrow" w:hAnsi="Arial Narrow"/>
          <w:b/>
          <w:sz w:val="20"/>
        </w:rPr>
        <w:t xml:space="preserve"> </w:t>
      </w:r>
    </w:p>
    <w:p w14:paraId="463B1EF6" w14:textId="77777777" w:rsidR="00467087" w:rsidRDefault="00467087" w:rsidP="00467087">
      <w:pPr>
        <w:pStyle w:val="Tablenotes1"/>
      </w:pPr>
      <w:r>
        <w:t>ACI=autologous chondrocyte implantation; MF=microfracture; MRI=magnetic resonance imaging</w:t>
      </w:r>
    </w:p>
    <w:p w14:paraId="651F8B39" w14:textId="77777777" w:rsidR="00467087" w:rsidRDefault="00467087" w:rsidP="00467087">
      <w:pPr>
        <w:pStyle w:val="Tablenotes1"/>
      </w:pPr>
      <w:r>
        <w:t xml:space="preserve">The current treatment algorithm is in white, with additions proposed in green. </w:t>
      </w:r>
    </w:p>
    <w:p w14:paraId="062CEAF8" w14:textId="77777777" w:rsidR="00467087" w:rsidRDefault="00467087" w:rsidP="00467087">
      <w:pPr>
        <w:pStyle w:val="Tablenotes1"/>
      </w:pPr>
      <w:r>
        <w:t xml:space="preserve">Source: Figure 1 of the ADAR. The algorithm </w:t>
      </w:r>
      <w:proofErr w:type="gramStart"/>
      <w:r>
        <w:t>was slightly modified</w:t>
      </w:r>
      <w:proofErr w:type="gramEnd"/>
      <w:r>
        <w:t xml:space="preserve">. The ≥ sign in larger lesions was altered to &gt;, and the &lt; sign was altered to ≤ sign in smaller lesions, for consistency with PICO defined population. Also consistent with the stipulated population, the requirement that a patient must be 15-55 years old </w:t>
      </w:r>
      <w:proofErr w:type="gramStart"/>
      <w:r>
        <w:t>has been removed</w:t>
      </w:r>
      <w:proofErr w:type="gramEnd"/>
      <w:r>
        <w:t xml:space="preserve">). </w:t>
      </w:r>
    </w:p>
    <w:p w14:paraId="043ED6BB" w14:textId="77777777" w:rsidR="00467087" w:rsidRPr="00467087" w:rsidRDefault="00467087" w:rsidP="00467087">
      <w:r>
        <w:t xml:space="preserve">The Commentary analysed different published clinical management algorithms, stating that there are discrepancies on whether microfracture (MF) </w:t>
      </w:r>
      <w:proofErr w:type="gramStart"/>
      <w:r>
        <w:t>is recommended</w:t>
      </w:r>
      <w:proofErr w:type="gramEnd"/>
      <w:r>
        <w:t xml:space="preserve"> for cartilage lesions of either &lt; 2cm</w:t>
      </w:r>
      <w:r>
        <w:rPr>
          <w:vertAlign w:val="superscript"/>
        </w:rPr>
        <w:t xml:space="preserve">2 </w:t>
      </w:r>
      <w:r>
        <w:t>or ≥ 2cm</w:t>
      </w:r>
      <w:r>
        <w:rPr>
          <w:vertAlign w:val="superscript"/>
        </w:rPr>
        <w:t>2</w:t>
      </w:r>
      <w:r>
        <w:t xml:space="preserve"> in size. The clinical expert consulted by the reviewers stated that MF surgery is appropriate for the treatment of knee cartilage lesions of up to </w:t>
      </w:r>
      <w:proofErr w:type="gramStart"/>
      <w:r>
        <w:t>5</w:t>
      </w:r>
      <w:proofErr w:type="gramEnd"/>
      <w:r>
        <w:t xml:space="preserve"> cm</w:t>
      </w:r>
      <w:r>
        <w:rPr>
          <w:vertAlign w:val="superscript"/>
        </w:rPr>
        <w:t>2</w:t>
      </w:r>
      <w:r>
        <w:t xml:space="preserve"> in size. Independent of the course of treatment chosen, all procedures need to be conducted by an orthopaedic surgeon. In addition, the applicants did not include in their algorithm the two major factors influencing the choice of a course of treatment for the management of knee focal cartilage repair: age and level of activity of the patient. Expert advice is that each of these factors are equally as important as lesion size when deciding to proceed with one surgery over another.</w:t>
      </w:r>
    </w:p>
    <w:p w14:paraId="69BA1168" w14:textId="77777777" w:rsidR="00BC1364" w:rsidRPr="00F715D1" w:rsidRDefault="00BC1364" w:rsidP="00F715D1">
      <w:pPr>
        <w:pStyle w:val="Heading1"/>
      </w:pPr>
      <w:r w:rsidRPr="00F715D1">
        <w:t xml:space="preserve">Comparator </w:t>
      </w:r>
    </w:p>
    <w:p w14:paraId="223AB19A" w14:textId="77777777" w:rsidR="00467087" w:rsidRDefault="00467087" w:rsidP="00467087">
      <w:r>
        <w:t xml:space="preserve">The comparator is MF surgery on its own, which </w:t>
      </w:r>
      <w:proofErr w:type="gramStart"/>
      <w:r>
        <w:t>is listed</w:t>
      </w:r>
      <w:proofErr w:type="gramEnd"/>
      <w:r>
        <w:t xml:space="preserve"> in the MBS system under items 49561, 49562 and 49563. Considering that other courses of treatment for knee focal cartilage injuries, such as ACI and MACI, </w:t>
      </w:r>
      <w:proofErr w:type="gramStart"/>
      <w:r>
        <w:t>are rarely used (nor reimbursed) in Australia, the Commentary</w:t>
      </w:r>
      <w:proofErr w:type="gramEnd"/>
      <w:r>
        <w:t xml:space="preserve"> considered that MF surgery alone is deemed an appropriate comparator.</w:t>
      </w:r>
    </w:p>
    <w:p w14:paraId="40BC2D39" w14:textId="77777777" w:rsidR="00BC1364" w:rsidRPr="00F715D1" w:rsidRDefault="00BC1364" w:rsidP="00F715D1">
      <w:pPr>
        <w:pStyle w:val="Heading1"/>
      </w:pPr>
      <w:r w:rsidRPr="00F715D1">
        <w:t>Comparative safety</w:t>
      </w:r>
    </w:p>
    <w:p w14:paraId="27AB5618" w14:textId="379C2FBB" w:rsidR="00453EF2" w:rsidRDefault="00467087">
      <w:r>
        <w:t xml:space="preserve">The key features of the included evidence base </w:t>
      </w:r>
      <w:proofErr w:type="gramStart"/>
      <w:r>
        <w:t>are described</w:t>
      </w:r>
      <w:proofErr w:type="gramEnd"/>
      <w:r>
        <w:t xml:space="preserve"> in </w:t>
      </w:r>
      <w:r w:rsidR="00453EF2" w:rsidRPr="0095363B">
        <w:rPr>
          <w:szCs w:val="24"/>
        </w:rPr>
        <w:fldChar w:fldCharType="begin"/>
      </w:r>
      <w:r w:rsidR="00453EF2" w:rsidRPr="0095363B">
        <w:rPr>
          <w:szCs w:val="24"/>
        </w:rPr>
        <w:instrText xml:space="preserve"> REF _Ref39758018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3</w:t>
      </w:r>
      <w:r w:rsidR="00453EF2" w:rsidRPr="0095363B">
        <w:rPr>
          <w:szCs w:val="24"/>
        </w:rPr>
        <w:fldChar w:fldCharType="end"/>
      </w:r>
      <w:r>
        <w:t>.</w:t>
      </w:r>
      <w:r w:rsidR="00453EF2">
        <w:br w:type="page"/>
      </w:r>
    </w:p>
    <w:p w14:paraId="327DB4D4" w14:textId="6DD3639C" w:rsidR="00467087" w:rsidRPr="005522F7" w:rsidRDefault="00453EF2" w:rsidP="005522F7">
      <w:pPr>
        <w:rPr>
          <w:rFonts w:ascii="Arial Narrow" w:hAnsi="Arial Narrow"/>
          <w:b/>
          <w:sz w:val="20"/>
        </w:rPr>
      </w:pPr>
      <w:bookmarkStart w:id="7" w:name="_Ref39758018"/>
      <w:r w:rsidRPr="005522F7">
        <w:rPr>
          <w:rFonts w:ascii="Arial Narrow" w:hAnsi="Arial Narrow"/>
          <w:b/>
          <w:sz w:val="20"/>
        </w:rPr>
        <w:lastRenderedPageBreak/>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3</w:t>
      </w:r>
      <w:r w:rsidR="001647CA" w:rsidRPr="005522F7">
        <w:rPr>
          <w:rFonts w:ascii="Arial Narrow" w:hAnsi="Arial Narrow"/>
          <w:b/>
          <w:sz w:val="20"/>
        </w:rPr>
        <w:fldChar w:fldCharType="end"/>
      </w:r>
      <w:bookmarkEnd w:id="7"/>
      <w:r w:rsidR="00467087" w:rsidRPr="005522F7">
        <w:rPr>
          <w:rFonts w:ascii="Arial Narrow" w:hAnsi="Arial Narrow"/>
          <w:b/>
          <w:sz w:val="20"/>
        </w:rPr>
        <w:tab/>
        <w:t>Key features of the included evidence comparing microfracture with microfracture plus BST-</w:t>
      </w:r>
      <w:proofErr w:type="spellStart"/>
      <w:r w:rsidR="00467087" w:rsidRPr="005522F7">
        <w:rPr>
          <w:rFonts w:ascii="Arial Narrow" w:hAnsi="Arial Narrow"/>
          <w:b/>
          <w:sz w:val="20"/>
        </w:rPr>
        <w:t>CarGel</w:t>
      </w:r>
      <w:proofErr w:type="spellEnd"/>
    </w:p>
    <w:tbl>
      <w:tblPr>
        <w:tblStyle w:val="TableGrid"/>
        <w:tblW w:w="5000" w:type="pct"/>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064"/>
        <w:gridCol w:w="458"/>
        <w:gridCol w:w="872"/>
        <w:gridCol w:w="1015"/>
        <w:gridCol w:w="3063"/>
        <w:gridCol w:w="1553"/>
        <w:gridCol w:w="991"/>
      </w:tblGrid>
      <w:tr w:rsidR="00467087" w14:paraId="27899BE7" w14:textId="77777777" w:rsidTr="00CA24F3">
        <w:trPr>
          <w:tblHeader/>
        </w:trPr>
        <w:tc>
          <w:tcPr>
            <w:tcW w:w="550" w:type="pct"/>
            <w:hideMark/>
          </w:tcPr>
          <w:p w14:paraId="1B8EE616" w14:textId="77777777" w:rsidR="00467087" w:rsidRDefault="00467087">
            <w:pPr>
              <w:pStyle w:val="Tabletextboldleft"/>
              <w:spacing w:line="276" w:lineRule="auto"/>
              <w:rPr>
                <w:snapToGrid w:val="0"/>
              </w:rPr>
            </w:pPr>
            <w:r>
              <w:rPr>
                <w:snapToGrid w:val="0"/>
              </w:rPr>
              <w:t>Trial/Study</w:t>
            </w:r>
          </w:p>
        </w:tc>
        <w:tc>
          <w:tcPr>
            <w:tcW w:w="165" w:type="pct"/>
            <w:hideMark/>
          </w:tcPr>
          <w:p w14:paraId="541D8EE4" w14:textId="77777777" w:rsidR="00467087" w:rsidRDefault="00467087">
            <w:pPr>
              <w:pStyle w:val="Tabletextboldleft"/>
              <w:spacing w:line="276" w:lineRule="auto"/>
              <w:rPr>
                <w:snapToGrid w:val="0"/>
              </w:rPr>
            </w:pPr>
            <w:r>
              <w:rPr>
                <w:snapToGrid w:val="0"/>
              </w:rPr>
              <w:t>N</w:t>
            </w:r>
          </w:p>
        </w:tc>
        <w:tc>
          <w:tcPr>
            <w:tcW w:w="445" w:type="pct"/>
            <w:hideMark/>
          </w:tcPr>
          <w:p w14:paraId="0CFFA3D0" w14:textId="77777777" w:rsidR="00467087" w:rsidRDefault="00467087">
            <w:pPr>
              <w:pStyle w:val="Tabletextboldleft"/>
              <w:spacing w:line="276" w:lineRule="auto"/>
              <w:rPr>
                <w:snapToGrid w:val="0"/>
              </w:rPr>
            </w:pPr>
            <w:r>
              <w:rPr>
                <w:snapToGrid w:val="0"/>
              </w:rPr>
              <w:t>Design/ duration</w:t>
            </w:r>
          </w:p>
        </w:tc>
        <w:tc>
          <w:tcPr>
            <w:tcW w:w="605" w:type="pct"/>
            <w:hideMark/>
          </w:tcPr>
          <w:p w14:paraId="463C1404" w14:textId="77777777" w:rsidR="00467087" w:rsidRDefault="00467087">
            <w:pPr>
              <w:pStyle w:val="Tabletextboldleft"/>
              <w:spacing w:line="276" w:lineRule="auto"/>
              <w:rPr>
                <w:snapToGrid w:val="0"/>
              </w:rPr>
            </w:pPr>
            <w:r>
              <w:rPr>
                <w:snapToGrid w:val="0"/>
              </w:rPr>
              <w:t>Risk of bias</w:t>
            </w:r>
          </w:p>
        </w:tc>
        <w:tc>
          <w:tcPr>
            <w:tcW w:w="1741" w:type="pct"/>
            <w:hideMark/>
          </w:tcPr>
          <w:p w14:paraId="09D8B2CD" w14:textId="77777777" w:rsidR="00467087" w:rsidRDefault="00467087">
            <w:pPr>
              <w:pStyle w:val="Tabletextboldleft"/>
              <w:spacing w:line="276" w:lineRule="auto"/>
              <w:rPr>
                <w:snapToGrid w:val="0"/>
              </w:rPr>
            </w:pPr>
            <w:r>
              <w:rPr>
                <w:snapToGrid w:val="0"/>
              </w:rPr>
              <w:t>Patient population</w:t>
            </w:r>
          </w:p>
        </w:tc>
        <w:tc>
          <w:tcPr>
            <w:tcW w:w="903" w:type="pct"/>
            <w:hideMark/>
          </w:tcPr>
          <w:p w14:paraId="595011AD" w14:textId="77777777" w:rsidR="00467087" w:rsidRDefault="00467087">
            <w:pPr>
              <w:pStyle w:val="Tabletextboldleft"/>
              <w:spacing w:line="276" w:lineRule="auto"/>
              <w:rPr>
                <w:snapToGrid w:val="0"/>
              </w:rPr>
            </w:pPr>
            <w:r>
              <w:rPr>
                <w:snapToGrid w:val="0"/>
              </w:rPr>
              <w:t>Key outcome(s)</w:t>
            </w:r>
          </w:p>
        </w:tc>
        <w:tc>
          <w:tcPr>
            <w:tcW w:w="591" w:type="pct"/>
            <w:hideMark/>
          </w:tcPr>
          <w:p w14:paraId="6FC30451" w14:textId="77777777" w:rsidR="00467087" w:rsidRDefault="00467087">
            <w:pPr>
              <w:pStyle w:val="Tabletextboldleft"/>
              <w:spacing w:line="276" w:lineRule="auto"/>
              <w:rPr>
                <w:snapToGrid w:val="0"/>
              </w:rPr>
            </w:pPr>
            <w:r>
              <w:rPr>
                <w:snapToGrid w:val="0"/>
              </w:rPr>
              <w:t>Result used in economic model</w:t>
            </w:r>
          </w:p>
        </w:tc>
      </w:tr>
      <w:tr w:rsidR="00467087" w14:paraId="146BFBB5" w14:textId="77777777" w:rsidTr="00CA24F3">
        <w:tc>
          <w:tcPr>
            <w:tcW w:w="550" w:type="pct"/>
            <w:hideMark/>
          </w:tcPr>
          <w:p w14:paraId="652EA5C9" w14:textId="77777777" w:rsidR="00467087" w:rsidRDefault="00467087">
            <w:pPr>
              <w:pStyle w:val="Tabletext0"/>
              <w:spacing w:line="276" w:lineRule="auto"/>
              <w:rPr>
                <w:snapToGrid w:val="0"/>
              </w:rPr>
            </w:pPr>
            <w:proofErr w:type="spellStart"/>
            <w:r>
              <w:rPr>
                <w:snapToGrid w:val="0"/>
              </w:rPr>
              <w:t>Stanish</w:t>
            </w:r>
            <w:proofErr w:type="spellEnd"/>
            <w:r>
              <w:rPr>
                <w:snapToGrid w:val="0"/>
              </w:rPr>
              <w:t xml:space="preserve"> et al. 2013</w:t>
            </w:r>
          </w:p>
        </w:tc>
        <w:tc>
          <w:tcPr>
            <w:tcW w:w="165" w:type="pct"/>
            <w:hideMark/>
          </w:tcPr>
          <w:p w14:paraId="499B0B0D" w14:textId="77777777" w:rsidR="00467087" w:rsidRDefault="00467087">
            <w:pPr>
              <w:pStyle w:val="Tabletext0"/>
              <w:spacing w:line="276" w:lineRule="auto"/>
              <w:rPr>
                <w:snapToGrid w:val="0"/>
              </w:rPr>
            </w:pPr>
            <w:r>
              <w:rPr>
                <w:snapToGrid w:val="0"/>
              </w:rPr>
              <w:t>80</w:t>
            </w:r>
          </w:p>
        </w:tc>
        <w:tc>
          <w:tcPr>
            <w:tcW w:w="445" w:type="pct"/>
            <w:hideMark/>
          </w:tcPr>
          <w:p w14:paraId="5C03D54D" w14:textId="77777777" w:rsidR="00467087" w:rsidRDefault="00467087">
            <w:pPr>
              <w:pStyle w:val="Tabletext0"/>
              <w:spacing w:line="276" w:lineRule="auto"/>
              <w:rPr>
                <w:snapToGrid w:val="0"/>
              </w:rPr>
            </w:pPr>
            <w:r>
              <w:rPr>
                <w:snapToGrid w:val="0"/>
              </w:rPr>
              <w:t>R, MC, SB*</w:t>
            </w:r>
          </w:p>
          <w:p w14:paraId="1A1AD42D" w14:textId="77777777" w:rsidR="00467087" w:rsidRDefault="00467087">
            <w:pPr>
              <w:pStyle w:val="Tabletext0"/>
              <w:spacing w:line="276" w:lineRule="auto"/>
              <w:rPr>
                <w:snapToGrid w:val="0"/>
              </w:rPr>
            </w:pPr>
            <w:r>
              <w:rPr>
                <w:snapToGrid w:val="0"/>
              </w:rPr>
              <w:t xml:space="preserve">12 </w:t>
            </w:r>
            <w:proofErr w:type="spellStart"/>
            <w:r>
              <w:rPr>
                <w:snapToGrid w:val="0"/>
              </w:rPr>
              <w:t>mths</w:t>
            </w:r>
            <w:proofErr w:type="spellEnd"/>
          </w:p>
        </w:tc>
        <w:tc>
          <w:tcPr>
            <w:tcW w:w="605" w:type="pct"/>
            <w:hideMark/>
          </w:tcPr>
          <w:p w14:paraId="124A76BA" w14:textId="77777777" w:rsidR="00467087" w:rsidRDefault="00467087">
            <w:pPr>
              <w:pStyle w:val="CommentTabletext"/>
              <w:spacing w:line="276" w:lineRule="auto"/>
              <w:rPr>
                <w:snapToGrid w:val="0"/>
                <w:lang w:eastAsia="en-US"/>
              </w:rPr>
            </w:pPr>
            <w:r>
              <w:rPr>
                <w:snapToGrid w:val="0"/>
                <w:lang w:eastAsia="en-US"/>
              </w:rPr>
              <w:t>Repair quantity (low)</w:t>
            </w:r>
          </w:p>
          <w:p w14:paraId="4DB96FC6" w14:textId="77777777" w:rsidR="00467087" w:rsidRDefault="00467087">
            <w:pPr>
              <w:pStyle w:val="CommentTabletext"/>
              <w:spacing w:line="276" w:lineRule="auto"/>
              <w:rPr>
                <w:snapToGrid w:val="0"/>
                <w:lang w:eastAsia="en-US"/>
              </w:rPr>
            </w:pPr>
            <w:r>
              <w:rPr>
                <w:snapToGrid w:val="0"/>
                <w:lang w:eastAsia="en-US"/>
              </w:rPr>
              <w:t>Repair quality (some concerns)</w:t>
            </w:r>
          </w:p>
        </w:tc>
        <w:tc>
          <w:tcPr>
            <w:tcW w:w="1741" w:type="pct"/>
            <w:hideMark/>
          </w:tcPr>
          <w:p w14:paraId="5E01CD3A" w14:textId="77777777" w:rsidR="00467087" w:rsidRDefault="00467087">
            <w:pPr>
              <w:pStyle w:val="Tabletext0"/>
              <w:spacing w:line="276" w:lineRule="auto"/>
              <w:rPr>
                <w:snapToGrid w:val="0"/>
                <w:lang w:eastAsia="en-US"/>
              </w:rPr>
            </w:pPr>
            <w:r>
              <w:rPr>
                <w:snapToGrid w:val="0"/>
              </w:rPr>
              <w:t>Patients 18 to 55 years old with a s</w:t>
            </w:r>
            <w:r>
              <w:t>ingle, symptomatic focal lesion (up to 10 cm</w:t>
            </w:r>
            <w:r>
              <w:rPr>
                <w:vertAlign w:val="superscript"/>
              </w:rPr>
              <w:t>2</w:t>
            </w:r>
            <w:r>
              <w:t xml:space="preserve">) located on the femoral condyle and classified as grade 3 or 4 (on </w:t>
            </w:r>
            <w:proofErr w:type="spellStart"/>
            <w:r>
              <w:t>Outerbridge</w:t>
            </w:r>
            <w:proofErr w:type="spellEnd"/>
            <w:r>
              <w:t xml:space="preserve"> scale) with moderate knee pain (&gt;4 cm on a 10 cm VAS scale)</w:t>
            </w:r>
          </w:p>
        </w:tc>
        <w:tc>
          <w:tcPr>
            <w:tcW w:w="903" w:type="pct"/>
          </w:tcPr>
          <w:p w14:paraId="062B2329" w14:textId="77777777" w:rsidR="00467087" w:rsidRDefault="00467087">
            <w:pPr>
              <w:pStyle w:val="Tabletext0"/>
              <w:spacing w:line="276" w:lineRule="auto"/>
              <w:rPr>
                <w:snapToGrid w:val="0"/>
              </w:rPr>
            </w:pPr>
            <w:r>
              <w:rPr>
                <w:snapToGrid w:val="0"/>
              </w:rPr>
              <w:t>Repair tissue quantity and quality</w:t>
            </w:r>
          </w:p>
          <w:p w14:paraId="3FF07D63" w14:textId="77777777" w:rsidR="00467087" w:rsidRDefault="00467087">
            <w:pPr>
              <w:pStyle w:val="Tabletext0"/>
              <w:spacing w:line="276" w:lineRule="auto"/>
              <w:rPr>
                <w:snapToGrid w:val="0"/>
              </w:rPr>
            </w:pPr>
          </w:p>
        </w:tc>
        <w:tc>
          <w:tcPr>
            <w:tcW w:w="591" w:type="pct"/>
            <w:hideMark/>
          </w:tcPr>
          <w:p w14:paraId="0807203A" w14:textId="77777777" w:rsidR="00467087" w:rsidRDefault="00467087">
            <w:pPr>
              <w:pStyle w:val="Tabletext0"/>
              <w:spacing w:line="276" w:lineRule="auto"/>
              <w:rPr>
                <w:snapToGrid w:val="0"/>
              </w:rPr>
            </w:pPr>
            <w:r>
              <w:rPr>
                <w:snapToGrid w:val="0"/>
              </w:rPr>
              <w:t>Repair tissue quantity only</w:t>
            </w:r>
          </w:p>
        </w:tc>
      </w:tr>
      <w:tr w:rsidR="00467087" w14:paraId="09436D04" w14:textId="77777777" w:rsidTr="00CA24F3">
        <w:tc>
          <w:tcPr>
            <w:tcW w:w="550" w:type="pct"/>
            <w:hideMark/>
          </w:tcPr>
          <w:p w14:paraId="0DA40FCC" w14:textId="77777777" w:rsidR="00467087" w:rsidRDefault="00467087">
            <w:pPr>
              <w:pStyle w:val="Tabletext0"/>
              <w:spacing w:line="276" w:lineRule="auto"/>
            </w:pPr>
            <w:r>
              <w:t>Shive et al. 2015</w:t>
            </w:r>
            <w:r>
              <w:rPr>
                <w:vertAlign w:val="superscript"/>
              </w:rPr>
              <w:t>†</w:t>
            </w:r>
          </w:p>
        </w:tc>
        <w:tc>
          <w:tcPr>
            <w:tcW w:w="165" w:type="pct"/>
            <w:hideMark/>
          </w:tcPr>
          <w:p w14:paraId="69FEABB2" w14:textId="77777777" w:rsidR="00467087" w:rsidRDefault="00467087">
            <w:pPr>
              <w:pStyle w:val="Tabletext0"/>
              <w:spacing w:line="276" w:lineRule="auto"/>
            </w:pPr>
            <w:r>
              <w:t>67</w:t>
            </w:r>
            <w:r>
              <w:rPr>
                <w:vertAlign w:val="superscript"/>
              </w:rPr>
              <w:t>‡</w:t>
            </w:r>
          </w:p>
        </w:tc>
        <w:tc>
          <w:tcPr>
            <w:tcW w:w="445" w:type="pct"/>
            <w:hideMark/>
          </w:tcPr>
          <w:p w14:paraId="6A0DBA68" w14:textId="77777777" w:rsidR="00467087" w:rsidRDefault="00467087">
            <w:pPr>
              <w:pStyle w:val="Tabletext0"/>
              <w:spacing w:line="276" w:lineRule="auto"/>
            </w:pPr>
            <w:proofErr w:type="spellStart"/>
            <w:r>
              <w:t>NRa</w:t>
            </w:r>
            <w:proofErr w:type="spellEnd"/>
            <w:r>
              <w:t>, MC, SB*</w:t>
            </w:r>
          </w:p>
          <w:p w14:paraId="2BB51374" w14:textId="77777777" w:rsidR="00467087" w:rsidRDefault="00467087">
            <w:pPr>
              <w:pStyle w:val="Tabletext0"/>
              <w:spacing w:line="276" w:lineRule="auto"/>
            </w:pPr>
            <w:r>
              <w:t>5 years</w:t>
            </w:r>
          </w:p>
        </w:tc>
        <w:tc>
          <w:tcPr>
            <w:tcW w:w="605" w:type="pct"/>
            <w:hideMark/>
          </w:tcPr>
          <w:p w14:paraId="5CB823A7" w14:textId="77777777" w:rsidR="00467087" w:rsidRDefault="00467087">
            <w:pPr>
              <w:pStyle w:val="CommentTabletext"/>
              <w:spacing w:line="276" w:lineRule="auto"/>
              <w:rPr>
                <w:lang w:eastAsia="en-US"/>
              </w:rPr>
            </w:pPr>
            <w:r>
              <w:rPr>
                <w:lang w:eastAsia="en-US"/>
              </w:rPr>
              <w:t>Serious risk for both quantity and quality</w:t>
            </w:r>
          </w:p>
        </w:tc>
        <w:tc>
          <w:tcPr>
            <w:tcW w:w="1741" w:type="pct"/>
            <w:hideMark/>
          </w:tcPr>
          <w:p w14:paraId="1F3CA7B2" w14:textId="77777777" w:rsidR="00467087" w:rsidRDefault="00467087">
            <w:pPr>
              <w:pStyle w:val="Tabletext0"/>
              <w:spacing w:line="276" w:lineRule="auto"/>
              <w:rPr>
                <w:lang w:eastAsia="en-US"/>
              </w:rPr>
            </w:pPr>
            <w:r>
              <w:t xml:space="preserve">Patients from </w:t>
            </w:r>
            <w:proofErr w:type="spellStart"/>
            <w:r>
              <w:t>Stanish</w:t>
            </w:r>
            <w:proofErr w:type="spellEnd"/>
            <w:r>
              <w:t xml:space="preserve"> et al (2013) study who consented to participate in a 5-year follow-up study</w:t>
            </w:r>
          </w:p>
        </w:tc>
        <w:tc>
          <w:tcPr>
            <w:tcW w:w="903" w:type="pct"/>
            <w:hideMark/>
          </w:tcPr>
          <w:p w14:paraId="74FA0BF6" w14:textId="77777777" w:rsidR="00467087" w:rsidRDefault="00467087">
            <w:pPr>
              <w:pStyle w:val="Tabletext0"/>
              <w:spacing w:line="276" w:lineRule="auto"/>
            </w:pPr>
            <w:r>
              <w:t>Repair tissue quantity and quality</w:t>
            </w:r>
          </w:p>
        </w:tc>
        <w:tc>
          <w:tcPr>
            <w:tcW w:w="591" w:type="pct"/>
            <w:hideMark/>
          </w:tcPr>
          <w:p w14:paraId="37A9D454" w14:textId="77777777" w:rsidR="00467087" w:rsidRDefault="00467087">
            <w:pPr>
              <w:pStyle w:val="Tabletext0"/>
              <w:spacing w:line="276" w:lineRule="auto"/>
            </w:pPr>
            <w:r>
              <w:t>No</w:t>
            </w:r>
          </w:p>
        </w:tc>
      </w:tr>
      <w:tr w:rsidR="00467087" w14:paraId="093DA6D4" w14:textId="77777777" w:rsidTr="00CA24F3">
        <w:tc>
          <w:tcPr>
            <w:tcW w:w="550" w:type="pct"/>
            <w:hideMark/>
          </w:tcPr>
          <w:p w14:paraId="7AB9E567" w14:textId="77777777" w:rsidR="00467087" w:rsidRDefault="00467087">
            <w:pPr>
              <w:pStyle w:val="CommentTabletext"/>
              <w:spacing w:line="276" w:lineRule="auto"/>
              <w:rPr>
                <w:lang w:eastAsia="en-US"/>
              </w:rPr>
            </w:pPr>
            <w:proofErr w:type="spellStart"/>
            <w:r>
              <w:rPr>
                <w:lang w:eastAsia="en-US"/>
              </w:rPr>
              <w:t>M</w:t>
            </w:r>
            <w:r>
              <w:rPr>
                <w:rFonts w:ascii="Times New Roman" w:hAnsi="Times New Roman" w:cs="Times New Roman"/>
                <w:lang w:eastAsia="en-US"/>
              </w:rPr>
              <w:t>é</w:t>
            </w:r>
            <w:r>
              <w:rPr>
                <w:lang w:eastAsia="en-US"/>
              </w:rPr>
              <w:t>thot</w:t>
            </w:r>
            <w:proofErr w:type="spellEnd"/>
            <w:r>
              <w:rPr>
                <w:lang w:eastAsia="en-US"/>
              </w:rPr>
              <w:t xml:space="preserve"> et al. 2016†</w:t>
            </w:r>
            <w:r>
              <w:rPr>
                <w:vertAlign w:val="superscript"/>
                <w:lang w:eastAsia="en-US"/>
              </w:rPr>
              <w:t>§</w:t>
            </w:r>
          </w:p>
        </w:tc>
        <w:tc>
          <w:tcPr>
            <w:tcW w:w="165" w:type="pct"/>
            <w:hideMark/>
          </w:tcPr>
          <w:p w14:paraId="48A28E0A" w14:textId="77777777" w:rsidR="00467087" w:rsidRDefault="00467087">
            <w:pPr>
              <w:pStyle w:val="CommentTabletext"/>
              <w:spacing w:line="276" w:lineRule="auto"/>
              <w:rPr>
                <w:lang w:eastAsia="en-US"/>
              </w:rPr>
            </w:pPr>
            <w:r>
              <w:rPr>
                <w:lang w:eastAsia="en-US"/>
              </w:rPr>
              <w:t>38</w:t>
            </w:r>
          </w:p>
        </w:tc>
        <w:tc>
          <w:tcPr>
            <w:tcW w:w="445" w:type="pct"/>
            <w:hideMark/>
          </w:tcPr>
          <w:p w14:paraId="1F2FE595" w14:textId="77777777" w:rsidR="00467087" w:rsidRDefault="00467087">
            <w:pPr>
              <w:pStyle w:val="CommentTabletext"/>
              <w:spacing w:line="276" w:lineRule="auto"/>
              <w:rPr>
                <w:lang w:eastAsia="en-US"/>
              </w:rPr>
            </w:pPr>
            <w:proofErr w:type="spellStart"/>
            <w:r>
              <w:rPr>
                <w:lang w:eastAsia="en-US"/>
              </w:rPr>
              <w:t>NRa</w:t>
            </w:r>
            <w:proofErr w:type="spellEnd"/>
            <w:r>
              <w:rPr>
                <w:lang w:eastAsia="en-US"/>
              </w:rPr>
              <w:t>, MC, SB*</w:t>
            </w:r>
          </w:p>
          <w:p w14:paraId="0B8757B4" w14:textId="77777777" w:rsidR="00467087" w:rsidRDefault="00467087">
            <w:pPr>
              <w:pStyle w:val="CommentTabletext"/>
              <w:spacing w:line="276" w:lineRule="auto"/>
              <w:rPr>
                <w:lang w:eastAsia="en-US"/>
              </w:rPr>
            </w:pPr>
            <w:r>
              <w:rPr>
                <w:lang w:eastAsia="en-US"/>
              </w:rPr>
              <w:t xml:space="preserve">13 </w:t>
            </w:r>
            <w:proofErr w:type="spellStart"/>
            <w:r>
              <w:rPr>
                <w:lang w:eastAsia="en-US"/>
              </w:rPr>
              <w:t>mths</w:t>
            </w:r>
            <w:proofErr w:type="spellEnd"/>
          </w:p>
        </w:tc>
        <w:tc>
          <w:tcPr>
            <w:tcW w:w="605" w:type="pct"/>
            <w:hideMark/>
          </w:tcPr>
          <w:p w14:paraId="623C4E4F" w14:textId="77777777" w:rsidR="00467087" w:rsidRDefault="00467087">
            <w:pPr>
              <w:pStyle w:val="CommentTabletext"/>
              <w:spacing w:line="276" w:lineRule="auto"/>
              <w:rPr>
                <w:lang w:eastAsia="en-US"/>
              </w:rPr>
            </w:pPr>
            <w:r>
              <w:rPr>
                <w:lang w:eastAsia="en-US"/>
              </w:rPr>
              <w:t>Serious risk for all ICRS scores</w:t>
            </w:r>
          </w:p>
        </w:tc>
        <w:tc>
          <w:tcPr>
            <w:tcW w:w="1741" w:type="pct"/>
            <w:hideMark/>
          </w:tcPr>
          <w:p w14:paraId="3E951633" w14:textId="77777777" w:rsidR="00467087" w:rsidRDefault="00467087">
            <w:pPr>
              <w:pStyle w:val="CommentTabletext"/>
              <w:spacing w:line="276" w:lineRule="auto"/>
              <w:rPr>
                <w:lang w:eastAsia="en-US"/>
              </w:rPr>
            </w:pPr>
            <w:r>
              <w:rPr>
                <w:lang w:eastAsia="en-US"/>
              </w:rPr>
              <w:t xml:space="preserve">Patients from </w:t>
            </w:r>
            <w:proofErr w:type="spellStart"/>
            <w:r>
              <w:rPr>
                <w:lang w:eastAsia="en-US"/>
              </w:rPr>
              <w:t>Stanish</w:t>
            </w:r>
            <w:proofErr w:type="spellEnd"/>
            <w:r>
              <w:rPr>
                <w:lang w:eastAsia="en-US"/>
              </w:rPr>
              <w:t xml:space="preserve"> et al. (2013) who consented to participate in a 2</w:t>
            </w:r>
            <w:r>
              <w:rPr>
                <w:vertAlign w:val="superscript"/>
                <w:lang w:eastAsia="en-US"/>
              </w:rPr>
              <w:t>nd</w:t>
            </w:r>
            <w:r>
              <w:rPr>
                <w:lang w:eastAsia="en-US"/>
              </w:rPr>
              <w:t xml:space="preserve"> look arthroscopy and biopsy study</w:t>
            </w:r>
          </w:p>
        </w:tc>
        <w:tc>
          <w:tcPr>
            <w:tcW w:w="903" w:type="pct"/>
            <w:hideMark/>
          </w:tcPr>
          <w:p w14:paraId="788172C6" w14:textId="77777777" w:rsidR="00467087" w:rsidRDefault="00467087">
            <w:pPr>
              <w:pStyle w:val="CommentTabletext"/>
              <w:spacing w:line="276" w:lineRule="auto"/>
              <w:rPr>
                <w:lang w:eastAsia="en-US"/>
              </w:rPr>
            </w:pPr>
            <w:r>
              <w:rPr>
                <w:lang w:eastAsia="en-US"/>
              </w:rPr>
              <w:t>ICRS macroscopic scoring. Structural parameters as assessed by histology</w:t>
            </w:r>
          </w:p>
        </w:tc>
        <w:tc>
          <w:tcPr>
            <w:tcW w:w="591" w:type="pct"/>
            <w:hideMark/>
          </w:tcPr>
          <w:p w14:paraId="191D0460" w14:textId="77777777" w:rsidR="00467087" w:rsidRDefault="00467087">
            <w:pPr>
              <w:pStyle w:val="CommentTabletext"/>
              <w:spacing w:line="276" w:lineRule="auto"/>
              <w:rPr>
                <w:lang w:eastAsia="en-US"/>
              </w:rPr>
            </w:pPr>
            <w:r>
              <w:rPr>
                <w:lang w:eastAsia="en-US"/>
              </w:rPr>
              <w:t>No</w:t>
            </w:r>
          </w:p>
        </w:tc>
      </w:tr>
      <w:tr w:rsidR="00467087" w14:paraId="2338412B" w14:textId="77777777" w:rsidTr="00CA24F3">
        <w:tc>
          <w:tcPr>
            <w:tcW w:w="550" w:type="pct"/>
            <w:hideMark/>
          </w:tcPr>
          <w:p w14:paraId="1D35BF3A" w14:textId="77777777" w:rsidR="00467087" w:rsidRDefault="00467087">
            <w:pPr>
              <w:pStyle w:val="CommentTabletext"/>
              <w:spacing w:line="276" w:lineRule="auto"/>
              <w:rPr>
                <w:snapToGrid w:val="0"/>
                <w:lang w:eastAsia="en-US"/>
              </w:rPr>
            </w:pPr>
            <w:proofErr w:type="spellStart"/>
            <w:r>
              <w:rPr>
                <w:snapToGrid w:val="0"/>
                <w:lang w:eastAsia="en-US"/>
              </w:rPr>
              <w:t>Sofu</w:t>
            </w:r>
            <w:proofErr w:type="spellEnd"/>
            <w:r>
              <w:rPr>
                <w:snapToGrid w:val="0"/>
                <w:lang w:eastAsia="en-US"/>
              </w:rPr>
              <w:t xml:space="preserve"> et al. 2019</w:t>
            </w:r>
            <w:r>
              <w:rPr>
                <w:snapToGrid w:val="0"/>
                <w:vertAlign w:val="superscript"/>
                <w:lang w:eastAsia="en-US"/>
              </w:rPr>
              <w:t>║</w:t>
            </w:r>
          </w:p>
        </w:tc>
        <w:tc>
          <w:tcPr>
            <w:tcW w:w="165" w:type="pct"/>
            <w:hideMark/>
          </w:tcPr>
          <w:p w14:paraId="31F5CDFE" w14:textId="77777777" w:rsidR="00467087" w:rsidRDefault="00467087">
            <w:pPr>
              <w:pStyle w:val="CommentTabletext"/>
              <w:spacing w:line="276" w:lineRule="auto"/>
              <w:rPr>
                <w:snapToGrid w:val="0"/>
                <w:lang w:eastAsia="en-US"/>
              </w:rPr>
            </w:pPr>
            <w:r>
              <w:rPr>
                <w:snapToGrid w:val="0"/>
                <w:lang w:eastAsia="en-US"/>
              </w:rPr>
              <w:t>46</w:t>
            </w:r>
          </w:p>
        </w:tc>
        <w:tc>
          <w:tcPr>
            <w:tcW w:w="445" w:type="pct"/>
            <w:hideMark/>
          </w:tcPr>
          <w:p w14:paraId="3DEC4C69" w14:textId="77777777" w:rsidR="00467087" w:rsidRDefault="00467087">
            <w:pPr>
              <w:pStyle w:val="CommentTabletext"/>
              <w:spacing w:line="276" w:lineRule="auto"/>
              <w:rPr>
                <w:lang w:eastAsia="en-US"/>
              </w:rPr>
            </w:pPr>
            <w:r>
              <w:rPr>
                <w:snapToGrid w:val="0"/>
                <w:lang w:eastAsia="en-US"/>
              </w:rPr>
              <w:t>C</w:t>
            </w:r>
            <w:r>
              <w:rPr>
                <w:lang w:eastAsia="en-US"/>
              </w:rPr>
              <w:t xml:space="preserve">S, Retro, Con, </w:t>
            </w:r>
          </w:p>
          <w:p w14:paraId="2D3C2865" w14:textId="77777777" w:rsidR="00467087" w:rsidRDefault="00467087">
            <w:pPr>
              <w:pStyle w:val="CommentTabletext"/>
              <w:spacing w:line="276" w:lineRule="auto"/>
              <w:rPr>
                <w:snapToGrid w:val="0"/>
                <w:lang w:eastAsia="en-US"/>
              </w:rPr>
            </w:pPr>
            <w:r>
              <w:rPr>
                <w:lang w:eastAsia="en-US"/>
              </w:rPr>
              <w:t xml:space="preserve">24 </w:t>
            </w:r>
            <w:proofErr w:type="spellStart"/>
            <w:r>
              <w:rPr>
                <w:lang w:eastAsia="en-US"/>
              </w:rPr>
              <w:t>mths</w:t>
            </w:r>
            <w:proofErr w:type="spellEnd"/>
            <w:r>
              <w:rPr>
                <w:lang w:eastAsia="en-US"/>
              </w:rPr>
              <w:t xml:space="preserve"> (mean)</w:t>
            </w:r>
          </w:p>
        </w:tc>
        <w:tc>
          <w:tcPr>
            <w:tcW w:w="605" w:type="pct"/>
            <w:hideMark/>
          </w:tcPr>
          <w:p w14:paraId="77E672C5" w14:textId="77777777" w:rsidR="00467087" w:rsidRDefault="00467087">
            <w:pPr>
              <w:pStyle w:val="CommentTabletext"/>
              <w:spacing w:line="276" w:lineRule="auto"/>
              <w:rPr>
                <w:snapToGrid w:val="0"/>
                <w:lang w:eastAsia="en-US"/>
              </w:rPr>
            </w:pPr>
            <w:r>
              <w:rPr>
                <w:snapToGrid w:val="0"/>
                <w:lang w:eastAsia="en-US"/>
              </w:rPr>
              <w:t>NA</w:t>
            </w:r>
          </w:p>
        </w:tc>
        <w:tc>
          <w:tcPr>
            <w:tcW w:w="1741" w:type="pct"/>
            <w:hideMark/>
          </w:tcPr>
          <w:p w14:paraId="5ECDE5BA" w14:textId="77777777" w:rsidR="00467087" w:rsidRDefault="00467087">
            <w:pPr>
              <w:pStyle w:val="CommentTabletext"/>
              <w:spacing w:line="276" w:lineRule="auto"/>
              <w:rPr>
                <w:snapToGrid w:val="0"/>
                <w:vertAlign w:val="superscript"/>
                <w:lang w:eastAsia="en-US"/>
              </w:rPr>
            </w:pPr>
            <w:r>
              <w:rPr>
                <w:snapToGrid w:val="0"/>
                <w:lang w:eastAsia="en-US"/>
              </w:rPr>
              <w:t>P</w:t>
            </w:r>
            <w:r>
              <w:rPr>
                <w:lang w:eastAsia="en-US"/>
              </w:rPr>
              <w:t xml:space="preserve">atients with a symptomatic single focal defect of the either medial or lateral femoral condyle classified as an </w:t>
            </w:r>
            <w:proofErr w:type="spellStart"/>
            <w:r>
              <w:rPr>
                <w:lang w:eastAsia="en-US"/>
              </w:rPr>
              <w:t>Outerbridge</w:t>
            </w:r>
            <w:proofErr w:type="spellEnd"/>
            <w:r>
              <w:rPr>
                <w:lang w:eastAsia="en-US"/>
              </w:rPr>
              <w:t xml:space="preserve"> grade 3 or 4 lesion. Mean lesion size of 3.3 ± 0.7 cm</w:t>
            </w:r>
            <w:r>
              <w:rPr>
                <w:vertAlign w:val="superscript"/>
                <w:lang w:eastAsia="en-US"/>
              </w:rPr>
              <w:t>2</w:t>
            </w:r>
          </w:p>
        </w:tc>
        <w:tc>
          <w:tcPr>
            <w:tcW w:w="903" w:type="pct"/>
            <w:hideMark/>
          </w:tcPr>
          <w:p w14:paraId="1BF2FBA5" w14:textId="77777777" w:rsidR="00467087" w:rsidRDefault="00467087">
            <w:pPr>
              <w:pStyle w:val="CommentTabletext"/>
              <w:spacing w:line="276" w:lineRule="auto"/>
              <w:rPr>
                <w:snapToGrid w:val="0"/>
                <w:lang w:eastAsia="en-US"/>
              </w:rPr>
            </w:pPr>
            <w:r>
              <w:rPr>
                <w:snapToGrid w:val="0"/>
                <w:lang w:eastAsia="en-US"/>
              </w:rPr>
              <w:t xml:space="preserve">VAS, </w:t>
            </w:r>
            <w:proofErr w:type="spellStart"/>
            <w:r>
              <w:rPr>
                <w:snapToGrid w:val="0"/>
                <w:lang w:eastAsia="en-US"/>
              </w:rPr>
              <w:t>Lysholm</w:t>
            </w:r>
            <w:proofErr w:type="spellEnd"/>
            <w:r>
              <w:rPr>
                <w:snapToGrid w:val="0"/>
                <w:lang w:eastAsia="en-US"/>
              </w:rPr>
              <w:t xml:space="preserve"> knee score, </w:t>
            </w:r>
            <w:proofErr w:type="spellStart"/>
            <w:r>
              <w:rPr>
                <w:snapToGrid w:val="0"/>
                <w:lang w:eastAsia="en-US"/>
              </w:rPr>
              <w:t>Tegner</w:t>
            </w:r>
            <w:proofErr w:type="spellEnd"/>
            <w:r>
              <w:rPr>
                <w:snapToGrid w:val="0"/>
                <w:lang w:eastAsia="en-US"/>
              </w:rPr>
              <w:t xml:space="preserve"> activity scale, quality of repair tissue</w:t>
            </w:r>
          </w:p>
        </w:tc>
        <w:tc>
          <w:tcPr>
            <w:tcW w:w="591" w:type="pct"/>
            <w:hideMark/>
          </w:tcPr>
          <w:p w14:paraId="53ACB212" w14:textId="77777777" w:rsidR="00467087" w:rsidRDefault="00467087">
            <w:pPr>
              <w:pStyle w:val="CommentTabletext"/>
              <w:spacing w:line="276" w:lineRule="auto"/>
              <w:rPr>
                <w:snapToGrid w:val="0"/>
                <w:lang w:eastAsia="en-US"/>
              </w:rPr>
            </w:pPr>
            <w:r>
              <w:rPr>
                <w:snapToGrid w:val="0"/>
                <w:lang w:eastAsia="en-US"/>
              </w:rPr>
              <w:t>No</w:t>
            </w:r>
          </w:p>
        </w:tc>
      </w:tr>
    </w:tbl>
    <w:p w14:paraId="4028E64A" w14:textId="77777777" w:rsidR="00467087" w:rsidRDefault="00467087" w:rsidP="00467087">
      <w:pPr>
        <w:widowControl w:val="0"/>
        <w:jc w:val="both"/>
        <w:rPr>
          <w:rStyle w:val="TablenotesChar"/>
        </w:rPr>
      </w:pPr>
      <w:r>
        <w:rPr>
          <w:rStyle w:val="TablenotesChar"/>
          <w:b/>
        </w:rPr>
        <w:t>Notes</w:t>
      </w:r>
    </w:p>
    <w:p w14:paraId="7C176C49" w14:textId="1A631DF7" w:rsidR="00467087" w:rsidRDefault="00467087" w:rsidP="00467087">
      <w:pPr>
        <w:widowControl w:val="0"/>
        <w:jc w:val="both"/>
        <w:rPr>
          <w:rStyle w:val="TablenotesChar"/>
        </w:rPr>
      </w:pPr>
      <w:proofErr w:type="gramStart"/>
      <w:r>
        <w:rPr>
          <w:rStyle w:val="TablenotesChar"/>
        </w:rPr>
        <w:t>*Only</w:t>
      </w:r>
      <w:proofErr w:type="gramEnd"/>
      <w:r>
        <w:rPr>
          <w:rStyle w:val="TablenotesChar"/>
        </w:rPr>
        <w:t xml:space="preserve"> the people carrying out the analyses of primary endpoints were blind</w:t>
      </w:r>
      <w:r w:rsidR="007B07B9">
        <w:rPr>
          <w:rStyle w:val="TablenotesChar"/>
        </w:rPr>
        <w:t>ed</w:t>
      </w:r>
      <w:r>
        <w:rPr>
          <w:rStyle w:val="TablenotesChar"/>
        </w:rPr>
        <w:t xml:space="preserve">. Investigators and patients </w:t>
      </w:r>
      <w:proofErr w:type="gramStart"/>
      <w:r>
        <w:rPr>
          <w:rStyle w:val="TablenotesChar"/>
        </w:rPr>
        <w:t>were not blinded</w:t>
      </w:r>
      <w:proofErr w:type="gramEnd"/>
      <w:r>
        <w:rPr>
          <w:rStyle w:val="TablenotesChar"/>
        </w:rPr>
        <w:t xml:space="preserve">. It should be noted in the study by </w:t>
      </w:r>
      <w:proofErr w:type="spellStart"/>
      <w:r>
        <w:rPr>
          <w:rFonts w:ascii="Arial Narrow" w:hAnsi="Arial Narrow" w:cs="Arial"/>
          <w:snapToGrid w:val="0"/>
          <w:sz w:val="18"/>
          <w:lang w:eastAsia="en-US"/>
        </w:rPr>
        <w:t>Méthot</w:t>
      </w:r>
      <w:proofErr w:type="spellEnd"/>
      <w:r>
        <w:rPr>
          <w:rFonts w:ascii="Arial Narrow" w:hAnsi="Arial Narrow" w:cs="Arial"/>
          <w:snapToGrid w:val="0"/>
          <w:sz w:val="18"/>
          <w:lang w:eastAsia="en-US"/>
        </w:rPr>
        <w:t xml:space="preserve"> et al. 2016 that whilst </w:t>
      </w:r>
      <w:proofErr w:type="gramStart"/>
      <w:r>
        <w:rPr>
          <w:rFonts w:ascii="Arial Narrow" w:hAnsi="Arial Narrow" w:cs="Arial"/>
          <w:snapToGrid w:val="0"/>
          <w:sz w:val="18"/>
          <w:lang w:eastAsia="en-US"/>
        </w:rPr>
        <w:t>the histological analyses were conducted by blinded assessors the assessors of the macroscopic ICRS</w:t>
      </w:r>
      <w:proofErr w:type="gramEnd"/>
      <w:r>
        <w:rPr>
          <w:rFonts w:ascii="Arial Narrow" w:hAnsi="Arial Narrow" w:cs="Arial"/>
          <w:snapToGrid w:val="0"/>
          <w:sz w:val="18"/>
          <w:lang w:eastAsia="en-US"/>
        </w:rPr>
        <w:t xml:space="preserve"> score were not blinded. </w:t>
      </w:r>
    </w:p>
    <w:p w14:paraId="29A230B2" w14:textId="77777777" w:rsidR="00467087" w:rsidRDefault="00467087" w:rsidP="00467087">
      <w:pPr>
        <w:widowControl w:val="0"/>
        <w:jc w:val="both"/>
        <w:rPr>
          <w:rStyle w:val="TablenotesChar"/>
        </w:rPr>
      </w:pPr>
      <w:r>
        <w:rPr>
          <w:rStyle w:val="TablenotesChar"/>
        </w:rPr>
        <w:t xml:space="preserve">†Extension studies of subsets of patients from </w:t>
      </w:r>
      <w:proofErr w:type="spellStart"/>
      <w:r>
        <w:rPr>
          <w:rStyle w:val="TablenotesChar"/>
        </w:rPr>
        <w:t>Stanish</w:t>
      </w:r>
      <w:proofErr w:type="spellEnd"/>
      <w:r>
        <w:rPr>
          <w:rStyle w:val="TablenotesChar"/>
        </w:rPr>
        <w:t xml:space="preserve"> et al (2013) trial </w:t>
      </w:r>
    </w:p>
    <w:p w14:paraId="4E32E006" w14:textId="77777777" w:rsidR="00467087" w:rsidRDefault="00467087" w:rsidP="00467087">
      <w:pPr>
        <w:widowControl w:val="0"/>
        <w:jc w:val="both"/>
        <w:rPr>
          <w:rStyle w:val="TablenotesChar"/>
        </w:rPr>
      </w:pPr>
      <w:r>
        <w:rPr>
          <w:rStyle w:val="TablenotesChar"/>
        </w:rPr>
        <w:t>‡ Whilst 67 patients agreed to participate in this follow-up study, the number of patients with data available varied from year to year with data available for 60 patients at year 5.</w:t>
      </w:r>
    </w:p>
    <w:p w14:paraId="10C92B56" w14:textId="77777777" w:rsidR="00467087" w:rsidRDefault="00467087" w:rsidP="00467087">
      <w:pPr>
        <w:widowControl w:val="0"/>
        <w:jc w:val="both"/>
        <w:rPr>
          <w:rStyle w:val="TablenotesChar"/>
        </w:rPr>
      </w:pPr>
      <w:proofErr w:type="gramStart"/>
      <w:r>
        <w:rPr>
          <w:rStyle w:val="TablenotesChar"/>
        </w:rPr>
        <w:t>§Data from this study was included by the Applicant</w:t>
      </w:r>
      <w:proofErr w:type="gramEnd"/>
      <w:r>
        <w:rPr>
          <w:rStyle w:val="TablenotesChar"/>
        </w:rPr>
        <w:t xml:space="preserve"> but the study was not included in their table of key features of included evidence (Table 20 of ADAR, page 53 and Table 21 of Commentary, page 63) </w:t>
      </w:r>
    </w:p>
    <w:p w14:paraId="10903DF7" w14:textId="3F51E6CE" w:rsidR="00467087" w:rsidRDefault="00467087" w:rsidP="00467087">
      <w:pPr>
        <w:widowControl w:val="0"/>
        <w:jc w:val="both"/>
        <w:rPr>
          <w:rStyle w:val="TablenotesChar"/>
        </w:rPr>
      </w:pPr>
      <w:r>
        <w:rPr>
          <w:rStyle w:val="TablenotesChar"/>
          <w:vertAlign w:val="superscript"/>
        </w:rPr>
        <w:t>║</w:t>
      </w:r>
      <w:r>
        <w:rPr>
          <w:rStyle w:val="TablenotesChar"/>
        </w:rPr>
        <w:t xml:space="preserve">This study </w:t>
      </w:r>
      <w:proofErr w:type="gramStart"/>
      <w:r>
        <w:rPr>
          <w:rStyle w:val="TablenotesChar"/>
        </w:rPr>
        <w:t>was identified by the Applicant but not used as evidence in their submission as it had the wrong comparator</w:t>
      </w:r>
      <w:proofErr w:type="gramEnd"/>
      <w:r>
        <w:rPr>
          <w:rStyle w:val="TablenotesChar"/>
        </w:rPr>
        <w:t xml:space="preserve">. </w:t>
      </w:r>
      <w:r w:rsidR="007B07B9">
        <w:rPr>
          <w:rStyle w:val="TablenotesChar"/>
        </w:rPr>
        <w:t xml:space="preserve">The </w:t>
      </w:r>
      <w:proofErr w:type="gramStart"/>
      <w:r w:rsidR="007B07B9">
        <w:rPr>
          <w:rStyle w:val="TablenotesChar"/>
        </w:rPr>
        <w:t xml:space="preserve">Commentary </w:t>
      </w:r>
      <w:r>
        <w:rPr>
          <w:rStyle w:val="TablenotesChar"/>
        </w:rPr>
        <w:t xml:space="preserve"> decided</w:t>
      </w:r>
      <w:proofErr w:type="gramEnd"/>
      <w:r>
        <w:rPr>
          <w:rStyle w:val="TablenotesChar"/>
        </w:rPr>
        <w:t xml:space="preserve"> to include the single arm of this study as a case series for safety and thus have included its details in the table of key features of the evidence. It </w:t>
      </w:r>
      <w:proofErr w:type="gramStart"/>
      <w:r>
        <w:rPr>
          <w:rStyle w:val="TablenotesChar"/>
        </w:rPr>
        <w:t>is discussed</w:t>
      </w:r>
      <w:proofErr w:type="gramEnd"/>
      <w:r>
        <w:rPr>
          <w:rStyle w:val="TablenotesChar"/>
        </w:rPr>
        <w:t xml:space="preserve"> in Section B7 of the Commentary.</w:t>
      </w:r>
    </w:p>
    <w:p w14:paraId="08A5D74B" w14:textId="77777777" w:rsidR="00467087" w:rsidRDefault="00467087" w:rsidP="00467087">
      <w:pPr>
        <w:widowControl w:val="0"/>
        <w:jc w:val="both"/>
        <w:rPr>
          <w:rStyle w:val="TablenotesChar"/>
        </w:rPr>
      </w:pPr>
      <w:r>
        <w:rPr>
          <w:rStyle w:val="TablenotesChar"/>
          <w:b/>
        </w:rPr>
        <w:t>Abbreviations</w:t>
      </w:r>
      <w:r>
        <w:rPr>
          <w:rStyle w:val="TablenotesChar"/>
        </w:rPr>
        <w:t xml:space="preserve">: CS=case series; Con = consecutive enrolment; ICRS: Internal Cartilage Repair Society; MC=multi-centre; NA: not applicable; </w:t>
      </w:r>
      <w:proofErr w:type="spellStart"/>
      <w:proofErr w:type="gramStart"/>
      <w:r>
        <w:rPr>
          <w:rStyle w:val="TablenotesChar"/>
        </w:rPr>
        <w:t>NRa</w:t>
      </w:r>
      <w:proofErr w:type="spellEnd"/>
      <w:r>
        <w:rPr>
          <w:rStyle w:val="TablenotesChar"/>
        </w:rPr>
        <w:t>=</w:t>
      </w:r>
      <w:proofErr w:type="gramEnd"/>
      <w:r>
        <w:rPr>
          <w:rStyle w:val="TablenotesChar"/>
        </w:rPr>
        <w:t xml:space="preserve">non-randomised; </w:t>
      </w:r>
      <w:proofErr w:type="spellStart"/>
      <w:r>
        <w:rPr>
          <w:rStyle w:val="TablenotesChar"/>
        </w:rPr>
        <w:t>QoL</w:t>
      </w:r>
      <w:proofErr w:type="spellEnd"/>
      <w:r>
        <w:rPr>
          <w:rStyle w:val="TablenotesChar"/>
        </w:rPr>
        <w:t>=quality of life; R=randomised; Retro = retrospective; SB=single blind; VAS: Visual Analogue Scale</w:t>
      </w:r>
    </w:p>
    <w:p w14:paraId="5D411250" w14:textId="77777777" w:rsidR="00467087" w:rsidRDefault="00467087" w:rsidP="00467087">
      <w:pPr>
        <w:pStyle w:val="Tablenotes1"/>
        <w:rPr>
          <w:rStyle w:val="TablenotesChar"/>
        </w:rPr>
      </w:pPr>
      <w:r>
        <w:rPr>
          <w:rStyle w:val="TablenotesChar"/>
        </w:rPr>
        <w:t>Source:</w:t>
      </w:r>
      <w:r>
        <w:rPr>
          <w:rStyle w:val="TablenotesChar"/>
          <w:b/>
        </w:rPr>
        <w:t xml:space="preserve"> </w:t>
      </w:r>
      <w:r>
        <w:rPr>
          <w:rStyle w:val="TablenotesChar"/>
        </w:rPr>
        <w:t xml:space="preserve">Table 3, </w:t>
      </w:r>
      <w:proofErr w:type="spellStart"/>
      <w:r>
        <w:rPr>
          <w:rStyle w:val="TablenotesChar"/>
        </w:rPr>
        <w:t>pxvii</w:t>
      </w:r>
      <w:proofErr w:type="spellEnd"/>
      <w:r>
        <w:rPr>
          <w:rStyle w:val="TablenotesChar"/>
        </w:rPr>
        <w:t xml:space="preserve"> of the Commentary</w:t>
      </w:r>
    </w:p>
    <w:p w14:paraId="57C9BC81" w14:textId="7448B30B" w:rsidR="00467087" w:rsidRDefault="00467087" w:rsidP="00467087">
      <w:r>
        <w:t>The Commentary stated that the sponsor of the pivotal randomised controlled trial (RCT) was the company who owned BST-</w:t>
      </w:r>
      <w:proofErr w:type="spellStart"/>
      <w:r>
        <w:t>CarGel</w:t>
      </w:r>
      <w:proofErr w:type="spellEnd"/>
      <w:r>
        <w:t xml:space="preserve"> at the time. Conflicts of interest </w:t>
      </w:r>
      <w:proofErr w:type="gramStart"/>
      <w:r>
        <w:t>are noted</w:t>
      </w:r>
      <w:proofErr w:type="gramEnd"/>
      <w:r>
        <w:t xml:space="preserve"> with all three studies relating to</w:t>
      </w:r>
      <w:r w:rsidR="00B13F9D">
        <w:t xml:space="preserve"> associations with the sponsor.</w:t>
      </w:r>
    </w:p>
    <w:p w14:paraId="7151900E" w14:textId="77777777" w:rsidR="00467087" w:rsidRDefault="00467087" w:rsidP="00453EF2">
      <w:pPr>
        <w:spacing w:before="240"/>
      </w:pPr>
      <w:r>
        <w:t xml:space="preserve">The Commentary stated that the patients in the studies have lesion sizes covering both populations stipulated in the PICO, although with an average lesion size closer to population </w:t>
      </w:r>
      <w:proofErr w:type="gramStart"/>
      <w:r>
        <w:t>one,</w:t>
      </w:r>
      <w:proofErr w:type="gramEnd"/>
      <w:r>
        <w:t xml:space="preserve"> and results are not separated for lesion size. It is uncertain whether some of the patients may have had damage to the subchondral endplate, an exclusion criterion specified in the PICO.</w:t>
      </w:r>
    </w:p>
    <w:p w14:paraId="4B14AB1E" w14:textId="48E3B6B0" w:rsidR="00467087" w:rsidRDefault="00467087" w:rsidP="00453EF2">
      <w:pPr>
        <w:spacing w:before="240"/>
        <w:jc w:val="both"/>
      </w:pPr>
      <w:r>
        <w:t xml:space="preserve">Results for all safety outcomes as reported by the Commentary </w:t>
      </w:r>
      <w:proofErr w:type="gramStart"/>
      <w:r>
        <w:t>are presented</w:t>
      </w:r>
      <w:proofErr w:type="gramEnd"/>
      <w:r>
        <w:t xml:space="preserve"> in </w:t>
      </w:r>
      <w:r w:rsidR="00453EF2" w:rsidRPr="0095363B">
        <w:rPr>
          <w:szCs w:val="24"/>
        </w:rPr>
        <w:fldChar w:fldCharType="begin"/>
      </w:r>
      <w:r w:rsidR="00453EF2" w:rsidRPr="0095363B">
        <w:rPr>
          <w:szCs w:val="24"/>
        </w:rPr>
        <w:instrText xml:space="preserve"> REF _Ref40102173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4</w:t>
      </w:r>
      <w:r w:rsidR="00453EF2" w:rsidRPr="0095363B">
        <w:rPr>
          <w:szCs w:val="24"/>
        </w:rPr>
        <w:fldChar w:fldCharType="end"/>
      </w:r>
      <w:r>
        <w:t>.</w:t>
      </w:r>
    </w:p>
    <w:p w14:paraId="53638A42" w14:textId="184D4B20" w:rsidR="00467087" w:rsidRDefault="00467087" w:rsidP="00467087">
      <w:r>
        <w:lastRenderedPageBreak/>
        <w:t>The Commentary stated that at 12 months follow-up, the number of adverse events (any type) reported for BST-</w:t>
      </w:r>
      <w:proofErr w:type="spellStart"/>
      <w:r>
        <w:t>CarGel</w:t>
      </w:r>
      <w:proofErr w:type="spellEnd"/>
      <w:r>
        <w:t xml:space="preserve"> plus microfracture was similar to that reported for microfracture alone. These events were generally mild to moderate and included arthralgia, procedural pain and nausea. No deaths or discontinuations due to an adverse event occurred. Device-related adverse events (those relating to BST-</w:t>
      </w:r>
      <w:proofErr w:type="spellStart"/>
      <w:r>
        <w:t>CarGel</w:t>
      </w:r>
      <w:proofErr w:type="spellEnd"/>
      <w:r>
        <w:t>) were reported in 9/41 (22 %) of patients. Whilst the study did not specifically report what these were, according to the definition provided in the clinical study report (CSR) they were either shellfish hypersensitivity or chronic inflammation within the knee. There is uncertainty regarding the serious adverse events as only the number of these were reported, not what they actually were (5/41 patients [9.8%] for BST-</w:t>
      </w:r>
      <w:proofErr w:type="spellStart"/>
      <w:r>
        <w:t>CarGel</w:t>
      </w:r>
      <w:proofErr w:type="spellEnd"/>
      <w:r>
        <w:t xml:space="preserve"> plus microfracture compared with 1/39 [2.6%] for microfracture alone). The only other detail provided regarding these serious adverse events was that </w:t>
      </w:r>
      <w:proofErr w:type="gramStart"/>
      <w:r>
        <w:t>4</w:t>
      </w:r>
      <w:proofErr w:type="gramEnd"/>
      <w:r>
        <w:t xml:space="preserve"> out the 5 reported for BST-</w:t>
      </w:r>
      <w:proofErr w:type="spellStart"/>
      <w:r>
        <w:t>CarGel</w:t>
      </w:r>
      <w:proofErr w:type="spellEnd"/>
      <w:r>
        <w:t xml:space="preserve"> were procedure related.</w:t>
      </w:r>
    </w:p>
    <w:p w14:paraId="3F9CFA0E" w14:textId="3285DD22" w:rsidR="00467087" w:rsidRPr="00453EF2" w:rsidRDefault="00467087" w:rsidP="00453EF2">
      <w:pPr>
        <w:spacing w:before="240"/>
      </w:pPr>
      <w:r>
        <w:t xml:space="preserve">The Commentary stated that as for the 12-month follow-up study, reporting for the 5-year follow-up was also poor. Again, they reported the number of </w:t>
      </w:r>
      <w:proofErr w:type="gramStart"/>
      <w:r>
        <w:t>adverse events and whether they were device or procedure related or serious, but not what they were</w:t>
      </w:r>
      <w:proofErr w:type="gramEnd"/>
      <w:r>
        <w:t>. It is reported that most were considered mild to moderate in severity and that the most frequently observed adverse event in both the BST-</w:t>
      </w:r>
      <w:proofErr w:type="spellStart"/>
      <w:r>
        <w:t>CarGel</w:t>
      </w:r>
      <w:proofErr w:type="spellEnd"/>
      <w:r>
        <w:t xml:space="preserve"> plus microfracture and microfracture alone groups was knee pain. No deaths or discontinuations due to adverse events occurred. Adverse events over five years decreased from the 12-month follow-up for both BST-</w:t>
      </w:r>
      <w:proofErr w:type="spellStart"/>
      <w:r>
        <w:t>CarGel</w:t>
      </w:r>
      <w:proofErr w:type="spellEnd"/>
      <w:r>
        <w:t xml:space="preserve"> plus microfracture and microfracture alone. Owing to the serious risk of bias associated with the 5-year follow-up study there is uncertainty regarding the adverse event numbers and no comparisons </w:t>
      </w:r>
      <w:proofErr w:type="gramStart"/>
      <w:r>
        <w:t>were made</w:t>
      </w:r>
      <w:proofErr w:type="gramEnd"/>
      <w:r>
        <w:t xml:space="preserve"> between BST-</w:t>
      </w:r>
      <w:proofErr w:type="spellStart"/>
      <w:r>
        <w:t>CarGel</w:t>
      </w:r>
      <w:proofErr w:type="spellEnd"/>
      <w:r>
        <w:t xml:space="preserve"> plus microfracture and microfracture alone.</w:t>
      </w:r>
    </w:p>
    <w:p w14:paraId="0431B45F" w14:textId="77777777" w:rsidR="00467087" w:rsidRDefault="00467087" w:rsidP="00467087">
      <w:pPr>
        <w:sectPr w:rsidR="004670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134" w:left="1440" w:header="708" w:footer="708" w:gutter="0"/>
          <w:cols w:space="720"/>
        </w:sectPr>
      </w:pPr>
    </w:p>
    <w:p w14:paraId="3A54BA1F" w14:textId="0B57FCC4" w:rsidR="00467087" w:rsidRPr="005522F7" w:rsidRDefault="00453EF2" w:rsidP="005522F7">
      <w:pPr>
        <w:rPr>
          <w:rFonts w:ascii="Arial Narrow" w:hAnsi="Arial Narrow"/>
          <w:b/>
          <w:sz w:val="20"/>
        </w:rPr>
      </w:pPr>
      <w:bookmarkStart w:id="8" w:name="_Ref40102173"/>
      <w:r w:rsidRPr="005522F7">
        <w:rPr>
          <w:rFonts w:ascii="Arial Narrow" w:hAnsi="Arial Narrow"/>
          <w:b/>
          <w:sz w:val="20"/>
        </w:rPr>
        <w:lastRenderedPageBreak/>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4</w:t>
      </w:r>
      <w:r w:rsidR="001647CA" w:rsidRPr="005522F7">
        <w:rPr>
          <w:rFonts w:ascii="Arial Narrow" w:hAnsi="Arial Narrow"/>
          <w:b/>
          <w:sz w:val="20"/>
        </w:rPr>
        <w:fldChar w:fldCharType="end"/>
      </w:r>
      <w:bookmarkEnd w:id="8"/>
      <w:r w:rsidR="00467087" w:rsidRPr="005522F7">
        <w:rPr>
          <w:rFonts w:ascii="Arial Narrow" w:hAnsi="Arial Narrow"/>
          <w:b/>
          <w:sz w:val="20"/>
        </w:rPr>
        <w:tab/>
        <w:t>Balance of clinical benefits and harms of BST-</w:t>
      </w:r>
      <w:proofErr w:type="spellStart"/>
      <w:r w:rsidR="00467087" w:rsidRPr="005522F7">
        <w:rPr>
          <w:rFonts w:ascii="Arial Narrow" w:hAnsi="Arial Narrow"/>
          <w:b/>
          <w:sz w:val="20"/>
        </w:rPr>
        <w:t>CarGel</w:t>
      </w:r>
      <w:proofErr w:type="spellEnd"/>
      <w:r w:rsidR="00467087" w:rsidRPr="005522F7">
        <w:rPr>
          <w:rFonts w:ascii="Arial Narrow" w:hAnsi="Arial Narrow"/>
          <w:b/>
          <w:sz w:val="20"/>
        </w:rPr>
        <w:t xml:space="preserve"> plus microfracture, relative to microfracture alone, and as measured by the critical patient-relevant outcomes in the key studies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Caption w:val="Table 17 Balance of clinical benefits and harms of intervention, relative to comparator, and as measured by the critical patient-relevant outcomes in the key studies "/>
        <w:tblDescription w:val="Summary of the findings in the evidence base for each critical patient-relevant outcome being assessed. The balance of benefits and harms and the possibilities for bias for each outcome can be seen."/>
      </w:tblPr>
      <w:tblGrid>
        <w:gridCol w:w="1211"/>
        <w:gridCol w:w="1212"/>
        <w:gridCol w:w="1212"/>
        <w:gridCol w:w="1212"/>
        <w:gridCol w:w="1212"/>
        <w:gridCol w:w="1212"/>
        <w:gridCol w:w="1371"/>
        <w:gridCol w:w="1077"/>
        <w:gridCol w:w="1029"/>
        <w:gridCol w:w="2872"/>
        <w:gridCol w:w="1642"/>
      </w:tblGrid>
      <w:tr w:rsidR="00467087" w14:paraId="21465E18" w14:textId="77777777" w:rsidTr="00467087">
        <w:trPr>
          <w:trHeight w:val="329"/>
          <w:tblHeader/>
        </w:trPr>
        <w:tc>
          <w:tcPr>
            <w:tcW w:w="2831" w:type="pct"/>
            <w:gridSpan w:val="7"/>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5F74FF6B" w14:textId="77777777" w:rsidR="00467087" w:rsidRDefault="00467087">
            <w:pPr>
              <w:pStyle w:val="Tabletextbold"/>
              <w:spacing w:line="276" w:lineRule="auto"/>
            </w:pPr>
            <w:r>
              <w:t>Quality assessment</w:t>
            </w:r>
          </w:p>
        </w:tc>
        <w:tc>
          <w:tcPr>
            <w:tcW w:w="690" w:type="pct"/>
            <w:gridSpan w:val="2"/>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67799A5" w14:textId="77777777" w:rsidR="00467087" w:rsidRDefault="00467087">
            <w:pPr>
              <w:pStyle w:val="Tabletextbold"/>
              <w:spacing w:line="276" w:lineRule="auto"/>
              <w:rPr>
                <w:vertAlign w:val="superscript"/>
              </w:rPr>
            </w:pPr>
            <w:r>
              <w:t xml:space="preserve">No of </w:t>
            </w:r>
            <w:proofErr w:type="spellStart"/>
            <w:r>
              <w:t>patients</w:t>
            </w:r>
            <w:r>
              <w:rPr>
                <w:vertAlign w:val="superscript"/>
              </w:rPr>
              <w:t>b</w:t>
            </w:r>
            <w:proofErr w:type="spellEnd"/>
          </w:p>
        </w:tc>
        <w:tc>
          <w:tcPr>
            <w:tcW w:w="941" w:type="pct"/>
            <w:tcBorders>
              <w:top w:val="single" w:sz="6" w:space="0" w:color="000000"/>
              <w:left w:val="single" w:sz="6" w:space="0" w:color="000000"/>
              <w:bottom w:val="nil"/>
              <w:right w:val="single" w:sz="6" w:space="0" w:color="000000"/>
            </w:tcBorders>
            <w:shd w:val="clear" w:color="auto" w:fill="DDDDDD"/>
            <w:tcMar>
              <w:top w:w="15" w:type="dxa"/>
              <w:left w:w="15" w:type="dxa"/>
              <w:bottom w:w="15" w:type="dxa"/>
              <w:right w:w="15" w:type="dxa"/>
            </w:tcMar>
            <w:vAlign w:val="center"/>
            <w:hideMark/>
          </w:tcPr>
          <w:p w14:paraId="554E0663" w14:textId="77777777" w:rsidR="00467087" w:rsidRDefault="00467087">
            <w:pPr>
              <w:pStyle w:val="Tabletextbold"/>
              <w:spacing w:line="276" w:lineRule="auto"/>
            </w:pPr>
            <w:r>
              <w:t>Effect</w:t>
            </w:r>
          </w:p>
        </w:tc>
        <w:tc>
          <w:tcPr>
            <w:tcW w:w="538" w:type="pct"/>
            <w:vMerge w:val="restar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D57EDB1" w14:textId="77777777" w:rsidR="00467087" w:rsidRDefault="00467087">
            <w:pPr>
              <w:pStyle w:val="Tabletextbold"/>
              <w:spacing w:line="276" w:lineRule="auto"/>
              <w:rPr>
                <w:vertAlign w:val="superscript"/>
              </w:rPr>
            </w:pPr>
            <w:proofErr w:type="spellStart"/>
            <w:r>
              <w:t>Quality</w:t>
            </w:r>
            <w:r>
              <w:rPr>
                <w:vertAlign w:val="superscript"/>
              </w:rPr>
              <w:t>a</w:t>
            </w:r>
            <w:proofErr w:type="spellEnd"/>
          </w:p>
        </w:tc>
      </w:tr>
      <w:tr w:rsidR="00467087" w14:paraId="1FA41F37" w14:textId="77777777" w:rsidTr="00467087">
        <w:trPr>
          <w:tblHeader/>
        </w:trPr>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3947A70" w14:textId="77777777" w:rsidR="00467087" w:rsidRDefault="00467087">
            <w:pPr>
              <w:pStyle w:val="Tabletextbold"/>
              <w:spacing w:line="276" w:lineRule="auto"/>
            </w:pPr>
            <w:r>
              <w:t>No of studies (k=)</w:t>
            </w:r>
          </w:p>
        </w:tc>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1229EB9D" w14:textId="77777777" w:rsidR="00467087" w:rsidRDefault="00467087">
            <w:pPr>
              <w:pStyle w:val="Tabletextbold"/>
              <w:spacing w:line="276" w:lineRule="auto"/>
            </w:pPr>
            <w:r>
              <w:t>Study Design/s</w:t>
            </w:r>
          </w:p>
        </w:tc>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6D40A01A" w14:textId="77777777" w:rsidR="00467087" w:rsidRDefault="00467087">
            <w:pPr>
              <w:pStyle w:val="Tabletextbold"/>
              <w:spacing w:line="276" w:lineRule="auto"/>
            </w:pPr>
            <w:r>
              <w:t>Risk of bias</w:t>
            </w:r>
          </w:p>
        </w:tc>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634AFCE1" w14:textId="77777777" w:rsidR="00467087" w:rsidRDefault="00467087">
            <w:pPr>
              <w:pStyle w:val="Tabletextbold"/>
              <w:spacing w:line="276" w:lineRule="auto"/>
            </w:pPr>
            <w:r>
              <w:t>Consistency of findings</w:t>
            </w:r>
          </w:p>
        </w:tc>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4ED43242" w14:textId="77777777" w:rsidR="00467087" w:rsidRDefault="00467087">
            <w:pPr>
              <w:pStyle w:val="Tabletextbold"/>
              <w:spacing w:line="276" w:lineRule="auto"/>
            </w:pPr>
            <w:r>
              <w:t>Applicability (including indirectness)</w:t>
            </w:r>
          </w:p>
        </w:tc>
        <w:tc>
          <w:tcPr>
            <w:tcW w:w="39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3D98E4BE" w14:textId="77777777" w:rsidR="00467087" w:rsidRDefault="00467087">
            <w:pPr>
              <w:pStyle w:val="Tabletextbold"/>
              <w:spacing w:line="276" w:lineRule="auto"/>
            </w:pPr>
            <w:r>
              <w:t>Imprecision</w:t>
            </w:r>
          </w:p>
        </w:tc>
        <w:tc>
          <w:tcPr>
            <w:tcW w:w="449"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D8C33E7" w14:textId="77777777" w:rsidR="00467087" w:rsidRDefault="00467087">
            <w:pPr>
              <w:pStyle w:val="Tabletextbold"/>
              <w:spacing w:line="276" w:lineRule="auto"/>
            </w:pPr>
            <w:r>
              <w:t xml:space="preserve">Other considerations </w:t>
            </w:r>
          </w:p>
        </w:tc>
        <w:tc>
          <w:tcPr>
            <w:tcW w:w="353"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76AFE774" w14:textId="77777777" w:rsidR="00467087" w:rsidRDefault="00467087">
            <w:pPr>
              <w:pStyle w:val="Tabletextbold"/>
              <w:spacing w:line="276" w:lineRule="auto"/>
            </w:pPr>
            <w:r>
              <w:t xml:space="preserve">Intervention </w:t>
            </w:r>
          </w:p>
        </w:tc>
        <w:tc>
          <w:tcPr>
            <w:tcW w:w="337"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554F325E" w14:textId="77777777" w:rsidR="00467087" w:rsidRDefault="00467087">
            <w:pPr>
              <w:pStyle w:val="Tabletextbold"/>
              <w:spacing w:line="276" w:lineRule="auto"/>
            </w:pPr>
            <w:r>
              <w:t>Control</w:t>
            </w:r>
          </w:p>
        </w:tc>
        <w:tc>
          <w:tcPr>
            <w:tcW w:w="941" w:type="pct"/>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5A4C2946" w14:textId="77777777" w:rsidR="00467087" w:rsidRDefault="00467087">
            <w:pPr>
              <w:pStyle w:val="Tabletextbold"/>
              <w:spacing w:line="276" w:lineRule="auto"/>
            </w:pPr>
            <w:r>
              <w:t>Relative</w:t>
            </w:r>
            <w:r>
              <w:br/>
              <w:t>(95% CI)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D83633" w14:textId="77777777" w:rsidR="00467087" w:rsidRDefault="00467087">
            <w:pPr>
              <w:spacing w:line="276" w:lineRule="auto"/>
              <w:rPr>
                <w:rFonts w:ascii="Arial Narrow" w:hAnsi="Arial Narrow" w:cs="Arial"/>
                <w:b/>
                <w:sz w:val="20"/>
                <w:vertAlign w:val="superscript"/>
                <w:lang w:eastAsia="en-US"/>
              </w:rPr>
            </w:pPr>
          </w:p>
        </w:tc>
      </w:tr>
      <w:tr w:rsidR="00467087" w14:paraId="3535F086" w14:textId="77777777" w:rsidTr="00467087">
        <w:trPr>
          <w:trHeight w:val="401"/>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764E4EE7"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degree of lesion fill as assessed by MRI (scale: 0-100%) measured at 12 months follow-up</w:t>
            </w:r>
          </w:p>
        </w:tc>
      </w:tr>
      <w:tr w:rsidR="00467087" w14:paraId="46C5B9A9"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592137" w14:textId="77777777" w:rsidR="00467087" w:rsidRDefault="00467087">
            <w:pPr>
              <w:pStyle w:val="Tabletext0"/>
              <w:spacing w:line="276" w:lineRule="auto"/>
            </w:pPr>
            <w:r>
              <w:t>Degree of lesion fill</w:t>
            </w:r>
          </w:p>
          <w:p w14:paraId="035C2156"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779884"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22C33E"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A8D958"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A6F6AB" w14:textId="77777777" w:rsidR="00467087" w:rsidRDefault="00467087">
            <w:pPr>
              <w:pStyle w:val="Tabletext0"/>
              <w:spacing w:line="276" w:lineRule="auto"/>
              <w:rPr>
                <w:vertAlign w:val="superscript"/>
              </w:rPr>
            </w:pPr>
            <w:proofErr w:type="spellStart"/>
            <w:r>
              <w:t>Serious</w:t>
            </w:r>
            <w:r>
              <w:rPr>
                <w:vertAlign w:val="superscript"/>
              </w:rPr>
              <w:t>C</w:t>
            </w:r>
            <w:proofErr w:type="spellEnd"/>
          </w:p>
          <w:p w14:paraId="5B5203A4"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629ECA" w14:textId="77777777" w:rsidR="00467087" w:rsidRDefault="00467087">
            <w:pPr>
              <w:pStyle w:val="Tabletext0"/>
              <w:spacing w:line="276" w:lineRule="auto"/>
              <w:rPr>
                <w:vertAlign w:val="superscript"/>
              </w:rPr>
            </w:pPr>
            <w:proofErr w:type="spellStart"/>
            <w:r>
              <w:t>Serious</w:t>
            </w:r>
            <w:r>
              <w:rPr>
                <w:vertAlign w:val="superscript"/>
              </w:rPr>
              <w:t>D</w:t>
            </w:r>
            <w:proofErr w:type="spellEnd"/>
          </w:p>
          <w:p w14:paraId="0672A106"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981D8C" w14:textId="77777777" w:rsidR="00467087" w:rsidRDefault="00467087">
            <w:pPr>
              <w:pStyle w:val="Tabletext0"/>
              <w:spacing w:line="276" w:lineRule="auto"/>
            </w:pPr>
            <w:r>
              <w:t>No</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B270CE" w14:textId="77777777" w:rsidR="00467087" w:rsidRDefault="00467087">
            <w:pPr>
              <w:pStyle w:val="Tabletext0"/>
              <w:spacing w:line="276" w:lineRule="auto"/>
            </w:pPr>
            <w:r>
              <w:t>41</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9E6CE0" w14:textId="77777777" w:rsidR="00467087" w:rsidRDefault="00467087">
            <w:pPr>
              <w:pStyle w:val="Tabletext0"/>
              <w:spacing w:line="276" w:lineRule="auto"/>
            </w:pPr>
            <w:r>
              <w:t>37</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C37F47" w14:textId="77777777" w:rsidR="00467087" w:rsidRDefault="00467087">
            <w:pPr>
              <w:pStyle w:val="Tabletext0"/>
              <w:spacing w:line="276" w:lineRule="auto"/>
            </w:pPr>
            <w:r>
              <w:t>MD (95% CI)</w:t>
            </w:r>
          </w:p>
          <w:p w14:paraId="4AF69F95" w14:textId="77777777" w:rsidR="00467087" w:rsidRDefault="00467087">
            <w:pPr>
              <w:pStyle w:val="Tabletext0"/>
              <w:spacing w:line="276" w:lineRule="auto"/>
            </w:pPr>
            <w:r>
              <w:t xml:space="preserve">7.59 (1.95, 13.23) </w:t>
            </w:r>
          </w:p>
          <w:p w14:paraId="7254FA55" w14:textId="77777777" w:rsidR="00467087" w:rsidRDefault="00467087">
            <w:pPr>
              <w:pStyle w:val="Tabletext0"/>
              <w:spacing w:line="276" w:lineRule="auto"/>
            </w:pPr>
            <w:r>
              <w:t>p = 0.011</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1147B9A" w14:textId="77777777" w:rsidR="00467087" w:rsidRDefault="00467087">
            <w:pPr>
              <w:pStyle w:val="Tabletext0"/>
              <w:spacing w:line="276" w:lineRule="auto"/>
              <w:rPr>
                <w:rFonts w:ascii="Cambria Math" w:hAnsi="Cambria Math" w:cs="Cambria Math"/>
                <w:color w:val="C00000"/>
              </w:rPr>
            </w:pPr>
            <w:r>
              <w:rPr>
                <w:rFonts w:ascii="Cambria Math" w:hAnsi="Cambria Math"/>
                <w:color w:val="00B050"/>
              </w:rPr>
              <w:t>⨁⨁</w:t>
            </w:r>
            <w:r>
              <w:rPr>
                <w:rFonts w:ascii="Cambria Math" w:hAnsi="Cambria Math" w:cs="Cambria Math"/>
                <w:color w:val="C00000"/>
              </w:rPr>
              <w:t>⨀⨀</w:t>
            </w:r>
          </w:p>
          <w:p w14:paraId="49D68C00" w14:textId="77777777" w:rsidR="00467087" w:rsidRDefault="00467087">
            <w:pPr>
              <w:pStyle w:val="Tabletext0"/>
              <w:spacing w:line="276" w:lineRule="auto"/>
            </w:pPr>
          </w:p>
        </w:tc>
      </w:tr>
      <w:tr w:rsidR="00467087" w14:paraId="34C0261B" w14:textId="77777777" w:rsidTr="00467087">
        <w:trPr>
          <w:trHeight w:val="502"/>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2A70642F"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T2 relaxation time (</w:t>
            </w:r>
            <w:proofErr w:type="spellStart"/>
            <w:r>
              <w:t>ms</w:t>
            </w:r>
            <w:proofErr w:type="spellEnd"/>
            <w:r>
              <w:t>) as assessed by MRI / measured at 12 months follow-up</w:t>
            </w:r>
          </w:p>
        </w:tc>
      </w:tr>
      <w:tr w:rsidR="00467087" w14:paraId="5C787E51"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82BB24" w14:textId="77777777" w:rsidR="00467087" w:rsidRDefault="00467087">
            <w:pPr>
              <w:pStyle w:val="Tabletext0"/>
              <w:spacing w:line="276" w:lineRule="auto"/>
            </w:pPr>
            <w:r>
              <w:softHyphen/>
              <w:t>T2 relaxation time</w:t>
            </w:r>
          </w:p>
          <w:p w14:paraId="14522C0C"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708547"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B5C21F" w14:textId="77777777" w:rsidR="00467087" w:rsidRDefault="00467087">
            <w:pPr>
              <w:pStyle w:val="Tabletext0"/>
              <w:spacing w:line="276" w:lineRule="auto"/>
            </w:pPr>
            <w:r>
              <w:t>Some concerns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E4E41E"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105054" w14:textId="77777777" w:rsidR="00467087" w:rsidRDefault="00467087">
            <w:pPr>
              <w:pStyle w:val="Tabletext0"/>
              <w:spacing w:line="276" w:lineRule="auto"/>
              <w:rPr>
                <w:vertAlign w:val="superscript"/>
              </w:rPr>
            </w:pPr>
            <w:proofErr w:type="spellStart"/>
            <w:r>
              <w:t>Serious</w:t>
            </w:r>
            <w:r>
              <w:rPr>
                <w:vertAlign w:val="superscript"/>
              </w:rPr>
              <w:t>C</w:t>
            </w:r>
            <w:proofErr w:type="spellEnd"/>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E6830D" w14:textId="77777777" w:rsidR="00467087" w:rsidRDefault="00467087">
            <w:pPr>
              <w:pStyle w:val="Tabletext0"/>
              <w:spacing w:line="276" w:lineRule="auto"/>
              <w:rPr>
                <w:vertAlign w:val="superscript"/>
              </w:rPr>
            </w:pPr>
            <w:proofErr w:type="spellStart"/>
            <w:r>
              <w:t>Serious</w:t>
            </w:r>
            <w:r>
              <w:rPr>
                <w:vertAlign w:val="superscript"/>
              </w:rPr>
              <w:t>D</w:t>
            </w:r>
            <w:proofErr w:type="spellEnd"/>
          </w:p>
          <w:p w14:paraId="073E7014"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5E6764" w14:textId="77777777" w:rsidR="00467087" w:rsidRDefault="00467087">
            <w:pPr>
              <w:pStyle w:val="Tabletext0"/>
              <w:spacing w:line="276" w:lineRule="auto"/>
            </w:pPr>
            <w:r>
              <w:t>No</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B11CAE" w14:textId="77777777" w:rsidR="00467087" w:rsidRDefault="00467087">
            <w:pPr>
              <w:pStyle w:val="Tabletext0"/>
              <w:spacing w:line="276" w:lineRule="auto"/>
            </w:pPr>
            <w:r>
              <w:t>39</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A5FF47" w14:textId="77777777" w:rsidR="00467087" w:rsidRDefault="00467087">
            <w:pPr>
              <w:pStyle w:val="Tabletext0"/>
              <w:spacing w:line="276" w:lineRule="auto"/>
            </w:pPr>
            <w:r>
              <w:t>33</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3F1163" w14:textId="77777777" w:rsidR="00467087" w:rsidRDefault="00467087">
            <w:pPr>
              <w:pStyle w:val="Tabletext0"/>
              <w:spacing w:line="276" w:lineRule="auto"/>
            </w:pPr>
            <w:r>
              <w:t>MD (95% CI)</w:t>
            </w:r>
          </w:p>
          <w:p w14:paraId="5B8AC2D7" w14:textId="77777777" w:rsidR="00467087" w:rsidRDefault="00467087">
            <w:pPr>
              <w:pStyle w:val="Tabletext0"/>
              <w:spacing w:line="276" w:lineRule="auto"/>
            </w:pPr>
            <w:r>
              <w:t>-14.58 (-27.59, -1.57)</w:t>
            </w:r>
          </w:p>
          <w:p w14:paraId="75619951" w14:textId="77777777" w:rsidR="00467087" w:rsidRDefault="00467087">
            <w:pPr>
              <w:pStyle w:val="Tabletext0"/>
              <w:spacing w:line="276" w:lineRule="auto"/>
            </w:pPr>
            <w:r>
              <w:t xml:space="preserve"> p = 0.011</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43AD77" w14:textId="77777777" w:rsidR="00467087" w:rsidRDefault="00467087">
            <w:pPr>
              <w:pStyle w:val="Tabletext0"/>
              <w:spacing w:line="276" w:lineRule="auto"/>
              <w:rPr>
                <w:rFonts w:ascii="Cambria Math" w:hAnsi="Cambria Math" w:cs="Cambria Math"/>
                <w:color w:val="C00000"/>
              </w:rPr>
            </w:pPr>
            <w:r>
              <w:rPr>
                <w:rFonts w:ascii="Cambria Math" w:hAnsi="Cambria Math"/>
                <w:color w:val="00B050"/>
              </w:rPr>
              <w:t>⨁⨁</w:t>
            </w:r>
            <w:r>
              <w:rPr>
                <w:rFonts w:ascii="Cambria Math" w:hAnsi="Cambria Math" w:cs="Cambria Math"/>
                <w:color w:val="C00000"/>
              </w:rPr>
              <w:t>⨀⨀</w:t>
            </w:r>
          </w:p>
          <w:p w14:paraId="0B627D95" w14:textId="77777777" w:rsidR="00467087" w:rsidRDefault="00467087">
            <w:pPr>
              <w:pStyle w:val="Tabletext0"/>
              <w:spacing w:line="276" w:lineRule="auto"/>
            </w:pPr>
          </w:p>
        </w:tc>
      </w:tr>
      <w:tr w:rsidR="00467087" w14:paraId="3A821791"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1592C451"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Structural success (% fill &gt; 70 %) as assessed by MRI / measured at 12 months follow-up</w:t>
            </w:r>
          </w:p>
        </w:tc>
      </w:tr>
      <w:tr w:rsidR="00467087" w14:paraId="1E8AB26C"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CEDBBC" w14:textId="77777777" w:rsidR="00467087" w:rsidRDefault="00467087">
            <w:pPr>
              <w:pStyle w:val="Tabletext0"/>
              <w:spacing w:line="276" w:lineRule="auto"/>
            </w:pPr>
            <w:r>
              <w:t>Structural success</w:t>
            </w:r>
          </w:p>
          <w:p w14:paraId="39D08EC5"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01DC62"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7053A7"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45DC0C"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17A2E9" w14:textId="77777777" w:rsidR="00467087" w:rsidRDefault="00467087">
            <w:pPr>
              <w:pStyle w:val="Tabletext0"/>
              <w:spacing w:line="276" w:lineRule="auto"/>
              <w:rPr>
                <w:vertAlign w:val="superscript"/>
              </w:rPr>
            </w:pPr>
            <w:proofErr w:type="spellStart"/>
            <w:r>
              <w:t>Serious</w:t>
            </w:r>
            <w:r>
              <w:rPr>
                <w:vertAlign w:val="superscript"/>
              </w:rPr>
              <w:t>C</w:t>
            </w:r>
            <w:proofErr w:type="spellEnd"/>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7D1835C" w14:textId="77777777" w:rsidR="00467087" w:rsidRDefault="00467087">
            <w:pPr>
              <w:pStyle w:val="Tabletext0"/>
              <w:spacing w:line="276" w:lineRule="auto"/>
              <w:rPr>
                <w:vertAlign w:val="superscript"/>
              </w:rPr>
            </w:pPr>
            <w:proofErr w:type="spellStart"/>
            <w:r>
              <w:t>Serious</w:t>
            </w:r>
            <w:r>
              <w:rPr>
                <w:vertAlign w:val="superscript"/>
              </w:rPr>
              <w:t>E</w:t>
            </w:r>
            <w:proofErr w:type="spellEnd"/>
          </w:p>
          <w:p w14:paraId="4BA93B89"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5DCBD0"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60CA9F" w14:textId="77777777" w:rsidR="00467087" w:rsidRDefault="00467087">
            <w:pPr>
              <w:pStyle w:val="Tabletext0"/>
              <w:spacing w:line="276" w:lineRule="auto"/>
            </w:pPr>
            <w:r>
              <w:t>41</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4A0A5B" w14:textId="77777777" w:rsidR="00467087" w:rsidRDefault="00467087">
            <w:pPr>
              <w:pStyle w:val="Tabletext0"/>
              <w:spacing w:line="276" w:lineRule="auto"/>
            </w:pPr>
            <w:r>
              <w:t>37</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7C21AC" w14:textId="77777777" w:rsidR="00467087" w:rsidRDefault="00467087">
            <w:pPr>
              <w:pStyle w:val="Tabletext0"/>
              <w:spacing w:line="276" w:lineRule="auto"/>
            </w:pPr>
            <w:r>
              <w:t>RR (95% CI)</w:t>
            </w:r>
          </w:p>
          <w:p w14:paraId="1B248A72" w14:textId="77777777" w:rsidR="00467087" w:rsidRDefault="00467087">
            <w:pPr>
              <w:pStyle w:val="Tabletext0"/>
              <w:spacing w:line="276" w:lineRule="auto"/>
            </w:pPr>
            <w:r>
              <w:t>1.20 (1.02, 1.42), P = 0.03</w:t>
            </w:r>
          </w:p>
          <w:p w14:paraId="63DFEB6A" w14:textId="77777777" w:rsidR="00467087" w:rsidRDefault="00467087">
            <w:pPr>
              <w:pStyle w:val="Tabletext0"/>
              <w:spacing w:line="276" w:lineRule="auto"/>
            </w:pPr>
            <w:r>
              <w:t>RD (95% CI)</w:t>
            </w:r>
          </w:p>
          <w:p w14:paraId="20571D99" w14:textId="77777777" w:rsidR="00467087" w:rsidRDefault="00467087">
            <w:pPr>
              <w:pStyle w:val="Tabletext0"/>
              <w:spacing w:line="276" w:lineRule="auto"/>
            </w:pPr>
            <w:r>
              <w:t>0.16 (0.03, 0.30), NNT = 7</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9173320" w14:textId="77777777" w:rsidR="00467087" w:rsidRDefault="00467087">
            <w:pPr>
              <w:pStyle w:val="Tabletext0"/>
              <w:spacing w:line="276" w:lineRule="auto"/>
              <w:rPr>
                <w:rFonts w:ascii="Cambria Math" w:hAnsi="Cambria Math" w:cs="Cambria Math"/>
                <w:color w:val="C00000"/>
              </w:rPr>
            </w:pPr>
            <w:r>
              <w:rPr>
                <w:rFonts w:ascii="Cambria Math" w:hAnsi="Cambria Math"/>
                <w:color w:val="00B050"/>
              </w:rPr>
              <w:t>⨁⨁</w:t>
            </w:r>
            <w:r>
              <w:rPr>
                <w:rFonts w:ascii="Cambria Math" w:hAnsi="Cambria Math" w:cs="Cambria Math"/>
                <w:color w:val="C00000"/>
              </w:rPr>
              <w:t>⨀⨀</w:t>
            </w:r>
          </w:p>
          <w:p w14:paraId="1A11237A" w14:textId="77777777" w:rsidR="00467087" w:rsidRDefault="00467087">
            <w:pPr>
              <w:pStyle w:val="Tabletext0"/>
              <w:spacing w:line="276" w:lineRule="auto"/>
            </w:pPr>
          </w:p>
        </w:tc>
      </w:tr>
      <w:tr w:rsidR="00467087" w14:paraId="718F7997"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49EBAE6D"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WOMAC (change from baseline) / measured at 12 months follow-up</w:t>
            </w:r>
          </w:p>
        </w:tc>
      </w:tr>
      <w:tr w:rsidR="00467087" w14:paraId="186F4CC2"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388893" w14:textId="77777777" w:rsidR="00467087" w:rsidRDefault="00467087">
            <w:pPr>
              <w:pStyle w:val="Tabletext0"/>
              <w:spacing w:line="276" w:lineRule="auto"/>
            </w:pPr>
            <w:r>
              <w:t>WOMAC</w:t>
            </w:r>
          </w:p>
          <w:p w14:paraId="1BDC267A"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BCDD33"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7EE749" w14:textId="77777777" w:rsidR="00467087" w:rsidRDefault="00467087">
            <w:pPr>
              <w:pStyle w:val="Tabletext0"/>
              <w:spacing w:line="276" w:lineRule="auto"/>
            </w:pPr>
            <w:r>
              <w:t>Some concerns,</w:t>
            </w:r>
          </w:p>
          <w:p w14:paraId="467BBBBA" w14:textId="77777777" w:rsidR="00467087" w:rsidRDefault="00467087">
            <w:pPr>
              <w:pStyle w:val="Tabletext0"/>
              <w:spacing w:line="276" w:lineRule="auto"/>
            </w:pPr>
            <w:r>
              <w:t>Not marked down</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DDB11B"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E006D1" w14:textId="77777777" w:rsidR="00467087" w:rsidRDefault="00467087">
            <w:pPr>
              <w:pStyle w:val="Tabletext0"/>
              <w:spacing w:line="276" w:lineRule="auto"/>
              <w:rPr>
                <w:vertAlign w:val="superscript"/>
              </w:rPr>
            </w:pPr>
            <w:proofErr w:type="spellStart"/>
            <w:r>
              <w:t>Serious</w:t>
            </w:r>
            <w:r>
              <w:rPr>
                <w:vertAlign w:val="superscript"/>
              </w:rPr>
              <w:t>F</w:t>
            </w:r>
            <w:proofErr w:type="spellEnd"/>
          </w:p>
          <w:p w14:paraId="3F7247A2"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32E52D" w14:textId="77777777" w:rsidR="00467087" w:rsidRDefault="00467087">
            <w:pPr>
              <w:pStyle w:val="Tabletext0"/>
              <w:spacing w:line="276" w:lineRule="auto"/>
              <w:rPr>
                <w:vertAlign w:val="superscript"/>
              </w:rPr>
            </w:pPr>
            <w:r>
              <w:t xml:space="preserve">Very </w:t>
            </w:r>
            <w:proofErr w:type="spellStart"/>
            <w:r>
              <w:t>serious</w:t>
            </w:r>
            <w:r>
              <w:rPr>
                <w:vertAlign w:val="superscript"/>
              </w:rPr>
              <w:t>G</w:t>
            </w:r>
            <w:proofErr w:type="spellEnd"/>
          </w:p>
          <w:p w14:paraId="218EA23A"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F24B5B"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41DC6B" w14:textId="77777777" w:rsidR="00467087" w:rsidRDefault="00467087">
            <w:pPr>
              <w:pStyle w:val="Tabletext0"/>
              <w:spacing w:line="276" w:lineRule="auto"/>
            </w:pPr>
            <w:r>
              <w:t>40</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B1C02C" w14:textId="77777777" w:rsidR="00467087" w:rsidRDefault="00467087">
            <w:pPr>
              <w:pStyle w:val="Tabletext0"/>
              <w:spacing w:line="276" w:lineRule="auto"/>
            </w:pPr>
          </w:p>
          <w:p w14:paraId="402646E1" w14:textId="77777777" w:rsidR="00467087" w:rsidRDefault="00467087">
            <w:pPr>
              <w:pStyle w:val="CommentTabletext"/>
              <w:spacing w:line="276" w:lineRule="auto"/>
              <w:rPr>
                <w:lang w:eastAsia="en-US"/>
              </w:rPr>
            </w:pPr>
            <w:r>
              <w:rPr>
                <w:lang w:eastAsia="en-US"/>
              </w:rPr>
              <w:t>37</w:t>
            </w:r>
            <w:r>
              <w:rPr>
                <w:vertAlign w:val="superscript"/>
                <w:lang w:eastAsia="en-US"/>
              </w:rPr>
              <w:t>b</w:t>
            </w:r>
            <w:r>
              <w:rPr>
                <w:lang w:eastAsia="en-US"/>
              </w:rPr>
              <w:t xml:space="preserve"> </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79F8FD" w14:textId="77777777" w:rsidR="00467087" w:rsidRDefault="00467087">
            <w:pPr>
              <w:pStyle w:val="Tabletext0"/>
              <w:spacing w:line="276" w:lineRule="auto"/>
              <w:rPr>
                <w:lang w:eastAsia="en-US"/>
              </w:rPr>
            </w:pPr>
            <w:r>
              <w:t>MD (95% CI)</w:t>
            </w:r>
          </w:p>
          <w:p w14:paraId="3D51ADD2" w14:textId="77777777" w:rsidR="00467087" w:rsidRDefault="00467087">
            <w:pPr>
              <w:pStyle w:val="Tabletext0"/>
              <w:spacing w:line="276" w:lineRule="auto"/>
            </w:pPr>
            <w:r>
              <w:t>Pain: 0.75(-2.54, 4.04)</w:t>
            </w:r>
          </w:p>
          <w:p w14:paraId="018615B4" w14:textId="77777777" w:rsidR="00467087" w:rsidRDefault="00467087">
            <w:pPr>
              <w:pStyle w:val="Tabletext0"/>
              <w:spacing w:line="276" w:lineRule="auto"/>
            </w:pPr>
            <w:r>
              <w:t>Stiffness: 0.59 (-1.33, 2.51)</w:t>
            </w:r>
          </w:p>
          <w:p w14:paraId="0FFB47A7" w14:textId="77777777" w:rsidR="00467087" w:rsidRDefault="00467087">
            <w:pPr>
              <w:pStyle w:val="Tabletext0"/>
              <w:spacing w:line="276" w:lineRule="auto"/>
            </w:pPr>
            <w:r>
              <w:t>Function: 4.63 (-7.35, 16.61)</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F87A0E"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3CA46D98"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00E06C39"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SF-36 (change from baseline) / measured at 12 months follow-up</w:t>
            </w:r>
          </w:p>
        </w:tc>
      </w:tr>
      <w:tr w:rsidR="00467087" w14:paraId="456F012E"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0D447A" w14:textId="77777777" w:rsidR="00467087" w:rsidRDefault="00467087">
            <w:pPr>
              <w:pStyle w:val="Tabletext0"/>
              <w:spacing w:line="276" w:lineRule="auto"/>
            </w:pPr>
            <w:r>
              <w:t>SF-36</w:t>
            </w:r>
          </w:p>
          <w:p w14:paraId="1708BC9D"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3880AB"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3ACEB5A" w14:textId="77777777" w:rsidR="00467087" w:rsidRDefault="00467087">
            <w:pPr>
              <w:pStyle w:val="Tabletext0"/>
              <w:spacing w:line="276" w:lineRule="auto"/>
            </w:pPr>
            <w:r>
              <w:t>Serious</w:t>
            </w:r>
          </w:p>
          <w:p w14:paraId="3BCD9D42"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16C457"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67735DE" w14:textId="77777777" w:rsidR="00467087" w:rsidRDefault="00467087">
            <w:pPr>
              <w:pStyle w:val="Tabletext0"/>
              <w:spacing w:line="276" w:lineRule="auto"/>
              <w:rPr>
                <w:vertAlign w:val="superscript"/>
              </w:rPr>
            </w:pPr>
            <w:r>
              <w:t xml:space="preserve">Some </w:t>
            </w:r>
            <w:proofErr w:type="spellStart"/>
            <w:r>
              <w:t>concerns</w:t>
            </w:r>
            <w:r>
              <w:rPr>
                <w:vertAlign w:val="superscript"/>
              </w:rPr>
              <w:t>H</w:t>
            </w:r>
            <w:proofErr w:type="spellEnd"/>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5A4D95" w14:textId="77777777" w:rsidR="00467087" w:rsidRDefault="00467087">
            <w:pPr>
              <w:pStyle w:val="Tabletext0"/>
              <w:spacing w:line="276" w:lineRule="auto"/>
              <w:rPr>
                <w:vertAlign w:val="superscript"/>
              </w:rPr>
            </w:pPr>
            <w:r>
              <w:t xml:space="preserve">Very </w:t>
            </w:r>
            <w:proofErr w:type="spellStart"/>
            <w:r>
              <w:t>serious</w:t>
            </w:r>
            <w:r>
              <w:rPr>
                <w:vertAlign w:val="superscript"/>
              </w:rPr>
              <w:t>G</w:t>
            </w:r>
            <w:proofErr w:type="spellEnd"/>
          </w:p>
          <w:p w14:paraId="215F0EFE"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CEF326"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52E094" w14:textId="77777777" w:rsidR="00467087" w:rsidRDefault="00467087">
            <w:pPr>
              <w:pStyle w:val="Tabletext0"/>
              <w:spacing w:line="276" w:lineRule="auto"/>
            </w:pPr>
            <w:r>
              <w:t>36</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7E7D8E" w14:textId="77777777" w:rsidR="00467087" w:rsidRDefault="00467087">
            <w:pPr>
              <w:pStyle w:val="Tabletext0"/>
              <w:spacing w:line="276" w:lineRule="auto"/>
            </w:pPr>
            <w:r>
              <w:t>34</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A3B116" w14:textId="77777777" w:rsidR="00467087" w:rsidRDefault="00467087">
            <w:pPr>
              <w:pStyle w:val="Tabletext0"/>
              <w:spacing w:line="276" w:lineRule="auto"/>
            </w:pPr>
            <w:r>
              <w:t>MD (95% CI)</w:t>
            </w:r>
          </w:p>
          <w:p w14:paraId="17CD869D" w14:textId="77777777" w:rsidR="00467087" w:rsidRDefault="00467087">
            <w:pPr>
              <w:pStyle w:val="Tabletext0"/>
              <w:spacing w:line="276" w:lineRule="auto"/>
            </w:pPr>
            <w:r>
              <w:t>Physical component: -1.74 (-5.93, 2.45) p = 0.412</w:t>
            </w:r>
          </w:p>
          <w:p w14:paraId="42B204FC" w14:textId="77777777" w:rsidR="00467087" w:rsidRDefault="00467087">
            <w:pPr>
              <w:pStyle w:val="Tabletext0"/>
              <w:spacing w:line="276" w:lineRule="auto"/>
            </w:pPr>
            <w:r>
              <w:lastRenderedPageBreak/>
              <w:t>Mental component: 2.70 (-1.65, 7.05) p = 0.229</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760A1E" w14:textId="77777777" w:rsidR="00467087" w:rsidRDefault="00467087">
            <w:pPr>
              <w:pStyle w:val="Tabletext0"/>
              <w:spacing w:line="276" w:lineRule="auto"/>
            </w:pPr>
            <w:r>
              <w:rPr>
                <w:rFonts w:ascii="Cambria Math" w:hAnsi="Cambria Math"/>
                <w:color w:val="00B050"/>
              </w:rPr>
              <w:lastRenderedPageBreak/>
              <w:t>⨁</w:t>
            </w:r>
            <w:r>
              <w:rPr>
                <w:rFonts w:ascii="Cambria Math" w:hAnsi="Cambria Math" w:cs="Cambria Math"/>
                <w:color w:val="C00000"/>
              </w:rPr>
              <w:t>⨀⨀⨀</w:t>
            </w:r>
          </w:p>
        </w:tc>
      </w:tr>
      <w:tr w:rsidR="00467087" w14:paraId="18BF86DE"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4E8D2B36"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degree of lesion fill as assessed by MRI (scale: 0-100%) measured at 5-year follow-up</w:t>
            </w:r>
          </w:p>
        </w:tc>
      </w:tr>
      <w:tr w:rsidR="00467087" w14:paraId="55DEC519"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A5BABC" w14:textId="77777777" w:rsidR="00467087" w:rsidRDefault="00467087">
            <w:pPr>
              <w:pStyle w:val="Tabletext0"/>
              <w:spacing w:line="276" w:lineRule="auto"/>
            </w:pPr>
            <w:r>
              <w:t>Degree of lesion fill</w:t>
            </w:r>
          </w:p>
          <w:p w14:paraId="1EF967BC"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0D5BEE"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8CA1FC" w14:textId="77777777" w:rsidR="00467087" w:rsidRDefault="00467087">
            <w:pPr>
              <w:pStyle w:val="Tabletext0"/>
              <w:spacing w:line="276" w:lineRule="auto"/>
            </w:pPr>
            <w:r>
              <w:t>Serious</w:t>
            </w:r>
          </w:p>
          <w:p w14:paraId="262F294C"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501FE6"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EE4ABD8" w14:textId="77777777" w:rsidR="00467087" w:rsidRDefault="00467087">
            <w:pPr>
              <w:pStyle w:val="Tabletext0"/>
              <w:spacing w:line="276" w:lineRule="auto"/>
              <w:rPr>
                <w:vertAlign w:val="superscript"/>
              </w:rPr>
            </w:pPr>
            <w:proofErr w:type="spellStart"/>
            <w:r>
              <w:t>Serious</w:t>
            </w:r>
            <w:r>
              <w:rPr>
                <w:vertAlign w:val="superscript"/>
              </w:rPr>
              <w:t>C</w:t>
            </w:r>
            <w:proofErr w:type="spellEnd"/>
          </w:p>
          <w:p w14:paraId="55A16FE2"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D4E1907" w14:textId="77777777" w:rsidR="00467087" w:rsidRDefault="00467087">
            <w:pPr>
              <w:pStyle w:val="Tabletext0"/>
              <w:spacing w:line="276" w:lineRule="auto"/>
              <w:rPr>
                <w:vertAlign w:val="superscript"/>
              </w:rPr>
            </w:pPr>
            <w:proofErr w:type="spellStart"/>
            <w:r>
              <w:t>Serious</w:t>
            </w:r>
            <w:r>
              <w:rPr>
                <w:vertAlign w:val="superscript"/>
              </w:rPr>
              <w:t>D</w:t>
            </w:r>
            <w:proofErr w:type="spellEnd"/>
          </w:p>
          <w:p w14:paraId="2822F8E9"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B3D48A" w14:textId="77777777" w:rsidR="00467087" w:rsidRDefault="00467087">
            <w:pPr>
              <w:pStyle w:val="Tabletext0"/>
              <w:spacing w:line="276" w:lineRule="auto"/>
            </w:pPr>
          </w:p>
          <w:p w14:paraId="6DEDA06D"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305DD2" w14:textId="77777777" w:rsidR="00467087" w:rsidRDefault="00467087">
            <w:pPr>
              <w:pStyle w:val="Tabletext0"/>
              <w:spacing w:line="276" w:lineRule="auto"/>
            </w:pPr>
            <w:r>
              <w:t>33</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8C349A"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CAE6B1" w14:textId="77777777" w:rsidR="00467087" w:rsidRDefault="00467087">
            <w:pPr>
              <w:pStyle w:val="Tabletext0"/>
              <w:spacing w:line="276" w:lineRule="auto"/>
            </w:pPr>
            <w:r>
              <w:t>MD (95% CI)</w:t>
            </w:r>
          </w:p>
          <w:p w14:paraId="4600D99C" w14:textId="77777777" w:rsidR="00467087" w:rsidRDefault="00467087">
            <w:pPr>
              <w:pStyle w:val="Tabletext0"/>
              <w:spacing w:line="276" w:lineRule="auto"/>
            </w:pPr>
            <w:r>
              <w:t>6.80 (0.82, 12.78) p = 0.017</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A91030"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4540B2FC"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5E3C2ABE"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T2 relaxation time (</w:t>
            </w:r>
            <w:proofErr w:type="spellStart"/>
            <w:r>
              <w:t>ms</w:t>
            </w:r>
            <w:proofErr w:type="spellEnd"/>
            <w:r>
              <w:t>) as assessed by MRI / measured at 5-year follow-up</w:t>
            </w:r>
          </w:p>
        </w:tc>
      </w:tr>
      <w:tr w:rsidR="00467087" w14:paraId="23120268"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1F3FF7" w14:textId="77777777" w:rsidR="00467087" w:rsidRDefault="00467087">
            <w:pPr>
              <w:pStyle w:val="Tabletext0"/>
              <w:spacing w:line="276" w:lineRule="auto"/>
            </w:pPr>
            <w:r>
              <w:t xml:space="preserve">T2 relaxation time </w:t>
            </w:r>
          </w:p>
          <w:p w14:paraId="6FE5DF70" w14:textId="77777777" w:rsidR="00467087" w:rsidRDefault="00467087">
            <w:pPr>
              <w:pStyle w:val="Tabletext0"/>
              <w:spacing w:line="276" w:lineRule="auto"/>
            </w:pPr>
            <w:r>
              <w:t xml:space="preserve"> (k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B9BD6D"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A4F49C" w14:textId="77777777" w:rsidR="00467087" w:rsidRDefault="00467087">
            <w:pPr>
              <w:pStyle w:val="Tabletext0"/>
              <w:spacing w:line="276" w:lineRule="auto"/>
            </w:pPr>
            <w:r>
              <w:t>Serious</w:t>
            </w:r>
          </w:p>
          <w:p w14:paraId="6348E1BB"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08B3B2"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EE2C207" w14:textId="77777777" w:rsidR="00467087" w:rsidRDefault="00467087">
            <w:pPr>
              <w:pStyle w:val="Tabletext0"/>
              <w:spacing w:line="276" w:lineRule="auto"/>
              <w:rPr>
                <w:vertAlign w:val="superscript"/>
              </w:rPr>
            </w:pPr>
            <w:proofErr w:type="spellStart"/>
            <w:r>
              <w:t>Serious</w:t>
            </w:r>
            <w:r>
              <w:rPr>
                <w:vertAlign w:val="superscript"/>
              </w:rPr>
              <w:t>C</w:t>
            </w:r>
            <w:proofErr w:type="spellEnd"/>
          </w:p>
          <w:p w14:paraId="4C3A64E1"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3CD983" w14:textId="77777777" w:rsidR="00467087" w:rsidRDefault="00467087">
            <w:pPr>
              <w:pStyle w:val="Tabletext0"/>
              <w:spacing w:line="276" w:lineRule="auto"/>
            </w:pPr>
            <w:proofErr w:type="spellStart"/>
            <w:r>
              <w:t>Serious</w:t>
            </w:r>
            <w:r>
              <w:rPr>
                <w:vertAlign w:val="superscript"/>
              </w:rPr>
              <w:t>D</w:t>
            </w:r>
            <w:proofErr w:type="spellEnd"/>
            <w:r>
              <w:t xml:space="preserve"> </w:t>
            </w: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4716542"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4679C1" w14:textId="77777777" w:rsidR="00467087" w:rsidRDefault="00467087">
            <w:pPr>
              <w:pStyle w:val="Tabletext0"/>
              <w:spacing w:line="276" w:lineRule="auto"/>
            </w:pPr>
            <w:r>
              <w:t>29</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B9C6CA" w14:textId="77777777" w:rsidR="00467087" w:rsidRDefault="00467087">
            <w:pPr>
              <w:pStyle w:val="Tabletext0"/>
              <w:spacing w:line="276" w:lineRule="auto"/>
            </w:pPr>
            <w:r>
              <w:t>22</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0C1FE2" w14:textId="77777777" w:rsidR="00467087" w:rsidRDefault="00467087">
            <w:pPr>
              <w:pStyle w:val="Tabletext0"/>
              <w:spacing w:line="276" w:lineRule="auto"/>
            </w:pPr>
            <w:r>
              <w:t>-14.70 (-31.30, 1.90) p = 0.026)</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2FD52E"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7A8E8F9C"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04F30835"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WOMAC (change from baseline) / measured at 5-year follow-up</w:t>
            </w:r>
          </w:p>
        </w:tc>
      </w:tr>
      <w:tr w:rsidR="00467087" w14:paraId="52E42666"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285EA0" w14:textId="77777777" w:rsidR="00467087" w:rsidRDefault="00467087">
            <w:pPr>
              <w:pStyle w:val="Tabletext0"/>
              <w:spacing w:line="276" w:lineRule="auto"/>
            </w:pPr>
            <w:r>
              <w:t>WOMAC</w:t>
            </w:r>
          </w:p>
          <w:p w14:paraId="09C3079B"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0772DE"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CE72E9" w14:textId="77777777" w:rsidR="00467087" w:rsidRDefault="00467087">
            <w:pPr>
              <w:pStyle w:val="Tabletext0"/>
              <w:spacing w:line="276" w:lineRule="auto"/>
            </w:pPr>
            <w:r>
              <w:t>Serious</w:t>
            </w:r>
          </w:p>
          <w:p w14:paraId="4D1B1A54"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CDDF82"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0453A5" w14:textId="77777777" w:rsidR="00467087" w:rsidRDefault="00467087">
            <w:pPr>
              <w:pStyle w:val="Tabletext0"/>
              <w:spacing w:line="276" w:lineRule="auto"/>
              <w:rPr>
                <w:vertAlign w:val="superscript"/>
              </w:rPr>
            </w:pPr>
            <w:proofErr w:type="spellStart"/>
            <w:r>
              <w:t>Serious</w:t>
            </w:r>
            <w:r>
              <w:rPr>
                <w:vertAlign w:val="superscript"/>
              </w:rPr>
              <w:t>F</w:t>
            </w:r>
            <w:proofErr w:type="spellEnd"/>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09BD7A" w14:textId="77777777" w:rsidR="00467087" w:rsidRDefault="00467087">
            <w:pPr>
              <w:pStyle w:val="Tabletext0"/>
              <w:spacing w:line="276" w:lineRule="auto"/>
            </w:pPr>
            <w:r>
              <w:t xml:space="preserve">Very </w:t>
            </w:r>
            <w:proofErr w:type="spellStart"/>
            <w:r>
              <w:t>serious</w:t>
            </w:r>
            <w:r>
              <w:rPr>
                <w:vertAlign w:val="superscript"/>
              </w:rPr>
              <w:t>G</w:t>
            </w:r>
            <w:proofErr w:type="spellEnd"/>
            <w:r>
              <w:t xml:space="preserve"> </w:t>
            </w:r>
          </w:p>
          <w:p w14:paraId="39B6D7AC" w14:textId="77777777" w:rsidR="00467087" w:rsidRDefault="00467087">
            <w:pPr>
              <w:pStyle w:val="Tabletext0"/>
              <w:spacing w:line="276" w:lineRule="auto"/>
            </w:pPr>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7CBFF8"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DD68CE" w14:textId="77777777" w:rsidR="00467087" w:rsidRDefault="00467087">
            <w:pPr>
              <w:pStyle w:val="Tabletext0"/>
              <w:spacing w:line="276" w:lineRule="auto"/>
            </w:pPr>
            <w:r>
              <w:t>33</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0A8D43"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A28DD" w14:textId="77777777" w:rsidR="00467087" w:rsidRDefault="00467087">
            <w:pPr>
              <w:pStyle w:val="Tabletext0"/>
              <w:spacing w:line="276" w:lineRule="auto"/>
            </w:pPr>
            <w:r>
              <w:t>MD (95% CI)</w:t>
            </w:r>
          </w:p>
          <w:p w14:paraId="425EAB35" w14:textId="77777777" w:rsidR="00467087" w:rsidRDefault="00467087">
            <w:pPr>
              <w:pStyle w:val="Tabletext0"/>
              <w:spacing w:line="276" w:lineRule="auto"/>
            </w:pPr>
            <w:r>
              <w:t>Pain: 1.62(-2.11, 5.35)</w:t>
            </w:r>
          </w:p>
          <w:p w14:paraId="44DAF316" w14:textId="77777777" w:rsidR="00467087" w:rsidRDefault="00467087">
            <w:pPr>
              <w:pStyle w:val="Tabletext0"/>
              <w:spacing w:line="276" w:lineRule="auto"/>
            </w:pPr>
            <w:r>
              <w:t>Stiffness: 0.59 (-1.33, 2.51)</w:t>
            </w:r>
          </w:p>
          <w:p w14:paraId="1EAC5CE0" w14:textId="77777777" w:rsidR="00467087" w:rsidRDefault="00467087">
            <w:pPr>
              <w:pStyle w:val="Tabletext0"/>
              <w:spacing w:line="276" w:lineRule="auto"/>
            </w:pPr>
            <w:r>
              <w:t>Function: 5.02 (-6.60, 16.64)</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73B499"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042FAA00"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15A20893" w14:textId="77777777" w:rsidR="00467087" w:rsidRDefault="00467087">
            <w:pPr>
              <w:pStyle w:val="Tabletextbold"/>
              <w:spacing w:line="276" w:lineRule="auto"/>
            </w:pPr>
            <w:r>
              <w:t>Patient-relevant critical effectiveness outcome (</w:t>
            </w:r>
            <w:proofErr w:type="spellStart"/>
            <w:r>
              <w:t>eg</w:t>
            </w:r>
            <w:proofErr w:type="spellEnd"/>
            <w:r>
              <w:t xml:space="preserve"> from PICO in PICO Confirmation) – SF-36 (change from baseline) / measured at 5-year follow-up</w:t>
            </w:r>
          </w:p>
        </w:tc>
      </w:tr>
      <w:tr w:rsidR="00467087" w14:paraId="362867EE"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997720" w14:textId="77777777" w:rsidR="00467087" w:rsidRDefault="00467087">
            <w:pPr>
              <w:pStyle w:val="Tabletext0"/>
              <w:spacing w:line="276" w:lineRule="auto"/>
            </w:pPr>
            <w:r>
              <w:t>SF-36</w:t>
            </w:r>
          </w:p>
          <w:p w14:paraId="217BD826"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1FF542"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010BB72" w14:textId="77777777" w:rsidR="00467087" w:rsidRDefault="00467087">
            <w:pPr>
              <w:pStyle w:val="Tabletext0"/>
              <w:spacing w:line="276" w:lineRule="auto"/>
            </w:pPr>
            <w:r>
              <w:t>Serious</w:t>
            </w:r>
          </w:p>
          <w:p w14:paraId="6CF3CF6A"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690EE4"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6D248F" w14:textId="77777777" w:rsidR="00467087" w:rsidRDefault="00467087">
            <w:pPr>
              <w:pStyle w:val="Tabletext0"/>
              <w:spacing w:line="276" w:lineRule="auto"/>
              <w:rPr>
                <w:vertAlign w:val="superscript"/>
              </w:rPr>
            </w:pPr>
            <w:r>
              <w:t xml:space="preserve">Some </w:t>
            </w:r>
            <w:proofErr w:type="spellStart"/>
            <w:r>
              <w:t>concerns</w:t>
            </w:r>
            <w:r>
              <w:rPr>
                <w:vertAlign w:val="superscript"/>
              </w:rPr>
              <w:t>H</w:t>
            </w:r>
            <w:proofErr w:type="spellEnd"/>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2052B9" w14:textId="77777777" w:rsidR="00467087" w:rsidRDefault="00467087">
            <w:pPr>
              <w:pStyle w:val="Tabletext0"/>
              <w:spacing w:line="276" w:lineRule="auto"/>
              <w:rPr>
                <w:vertAlign w:val="superscript"/>
              </w:rPr>
            </w:pPr>
            <w:r>
              <w:t xml:space="preserve">Very </w:t>
            </w:r>
            <w:proofErr w:type="spellStart"/>
            <w:r>
              <w:t>serious</w:t>
            </w:r>
            <w:r>
              <w:rPr>
                <w:vertAlign w:val="superscript"/>
              </w:rPr>
              <w:t>G</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21255B5" w14:textId="77777777" w:rsidR="00467087" w:rsidRDefault="00467087">
            <w:pPr>
              <w:pStyle w:val="Tabletext0"/>
              <w:spacing w:line="276" w:lineRule="auto"/>
            </w:pP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6EB3B4" w14:textId="77777777" w:rsidR="00467087" w:rsidRDefault="00467087">
            <w:pPr>
              <w:pStyle w:val="Tabletext0"/>
              <w:spacing w:line="276" w:lineRule="auto"/>
            </w:pPr>
            <w:r>
              <w:t>34</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F0EE04"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E7B8F8" w14:textId="77777777" w:rsidR="00467087" w:rsidRDefault="00467087">
            <w:pPr>
              <w:pStyle w:val="Tabletext0"/>
              <w:spacing w:line="276" w:lineRule="auto"/>
            </w:pPr>
            <w:r>
              <w:t>MD (95% CI)</w:t>
            </w:r>
          </w:p>
          <w:p w14:paraId="02AFA756" w14:textId="77777777" w:rsidR="00467087" w:rsidRDefault="00467087">
            <w:pPr>
              <w:pStyle w:val="Tabletext0"/>
              <w:spacing w:line="276" w:lineRule="auto"/>
            </w:pPr>
            <w:r>
              <w:t xml:space="preserve">Physical component: -1.07 (-5.31, 3.17) </w:t>
            </w:r>
          </w:p>
          <w:p w14:paraId="27B34C49" w14:textId="77777777" w:rsidR="00467087" w:rsidRDefault="00467087">
            <w:pPr>
              <w:pStyle w:val="Tabletext0"/>
              <w:spacing w:line="276" w:lineRule="auto"/>
            </w:pPr>
            <w:r>
              <w:t>Mental component: 2.89 (-1.42, 7.20)</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824F49"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61259960"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vAlign w:val="center"/>
            <w:hideMark/>
          </w:tcPr>
          <w:p w14:paraId="4727E915" w14:textId="77777777" w:rsidR="00467087" w:rsidRDefault="00467087">
            <w:pPr>
              <w:pStyle w:val="Tabletextbold"/>
              <w:spacing w:line="276" w:lineRule="auto"/>
            </w:pPr>
            <w:r>
              <w:t>Patient-relevant critical safety outcome (</w:t>
            </w:r>
            <w:proofErr w:type="spellStart"/>
            <w:r>
              <w:t>eg</w:t>
            </w:r>
            <w:proofErr w:type="spellEnd"/>
            <w:r>
              <w:t xml:space="preserve"> from PICO in PICO Confirmation) – any adverse events / measured at 12 months follow-up</w:t>
            </w:r>
          </w:p>
        </w:tc>
      </w:tr>
      <w:tr w:rsidR="00467087" w14:paraId="6E5B93D5"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79F467" w14:textId="77777777" w:rsidR="00467087" w:rsidRDefault="00467087">
            <w:pPr>
              <w:pStyle w:val="Tabletext0"/>
              <w:spacing w:line="276" w:lineRule="auto"/>
            </w:pPr>
            <w:r>
              <w:t xml:space="preserve">Any adverse events </w:t>
            </w:r>
          </w:p>
          <w:p w14:paraId="33A20F47" w14:textId="77777777" w:rsidR="00467087" w:rsidRDefault="00467087">
            <w:pPr>
              <w:pStyle w:val="Tabletext0"/>
              <w:spacing w:line="276" w:lineRule="auto"/>
            </w:pPr>
            <w:r>
              <w:t>(k=1)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30D402"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4239ED" w14:textId="77777777" w:rsidR="00467087" w:rsidRDefault="00467087">
            <w:pPr>
              <w:pStyle w:val="Tabletext0"/>
              <w:spacing w:line="276" w:lineRule="auto"/>
            </w:pPr>
            <w:r>
              <w:t>Some concerns</w:t>
            </w:r>
          </w:p>
          <w:p w14:paraId="46B513D6" w14:textId="77777777" w:rsidR="00467087" w:rsidRDefault="00467087">
            <w:pPr>
              <w:pStyle w:val="Tabletext0"/>
              <w:spacing w:line="276" w:lineRule="auto"/>
            </w:pPr>
            <w:r>
              <w:t>Not enough to mark down</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C6D14F"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589201"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E5DCB9" w14:textId="77777777" w:rsidR="00467087" w:rsidRDefault="00467087">
            <w:pPr>
              <w:pStyle w:val="Tabletext0"/>
              <w:spacing w:line="276" w:lineRule="auto"/>
              <w:rPr>
                <w:vertAlign w:val="superscript"/>
              </w:rPr>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516D10"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D1E013" w14:textId="77777777" w:rsidR="00467087" w:rsidRDefault="00467087">
            <w:pPr>
              <w:pStyle w:val="Tabletext0"/>
              <w:spacing w:line="276" w:lineRule="auto"/>
            </w:pPr>
            <w:r>
              <w:t>41</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8DE38A" w14:textId="77777777" w:rsidR="00467087" w:rsidRDefault="00467087">
            <w:pPr>
              <w:pStyle w:val="Tabletext0"/>
              <w:spacing w:line="276" w:lineRule="auto"/>
            </w:pPr>
            <w:r>
              <w:t>39</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5EE62B" w14:textId="77777777" w:rsidR="00467087" w:rsidRDefault="00467087">
            <w:pPr>
              <w:pStyle w:val="Tabletext0"/>
              <w:spacing w:line="276" w:lineRule="auto"/>
            </w:pPr>
            <w:r>
              <w:t>RR (95% CI)</w:t>
            </w:r>
          </w:p>
          <w:p w14:paraId="77B0FE6F" w14:textId="77777777" w:rsidR="00467087" w:rsidRDefault="00467087">
            <w:pPr>
              <w:pStyle w:val="Tabletext0"/>
              <w:spacing w:line="276" w:lineRule="auto"/>
            </w:pPr>
            <w:r>
              <w:t>1.06 (0.95, 1.17), p = 0.29</w:t>
            </w:r>
          </w:p>
          <w:p w14:paraId="5C1DE5D4" w14:textId="77777777" w:rsidR="00467087" w:rsidRDefault="00467087">
            <w:pPr>
              <w:pStyle w:val="Tabletext0"/>
              <w:spacing w:line="276" w:lineRule="auto"/>
            </w:pPr>
            <w:r>
              <w:t>RD (95% CI)</w:t>
            </w:r>
          </w:p>
          <w:p w14:paraId="0206D973" w14:textId="77777777" w:rsidR="00467087" w:rsidRDefault="00467087">
            <w:pPr>
              <w:pStyle w:val="Tabletext0"/>
              <w:spacing w:line="276" w:lineRule="auto"/>
            </w:pPr>
            <w:r>
              <w:lastRenderedPageBreak/>
              <w:t xml:space="preserve">0.05 (-0.04,0.15) </w:t>
            </w:r>
          </w:p>
          <w:p w14:paraId="5BD0C5AD" w14:textId="77777777" w:rsidR="00467087" w:rsidRDefault="00467087">
            <w:pPr>
              <w:pStyle w:val="Tabletext0"/>
              <w:spacing w:line="276" w:lineRule="auto"/>
            </w:pPr>
            <w:r>
              <w:t>-</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3C60D4" w14:textId="77777777" w:rsidR="00467087" w:rsidRDefault="00467087">
            <w:pPr>
              <w:pStyle w:val="Tabletext0"/>
              <w:spacing w:line="276" w:lineRule="auto"/>
              <w:rPr>
                <w:rFonts w:ascii="Cambria Math" w:hAnsi="Cambria Math"/>
                <w:color w:val="00B050"/>
              </w:rPr>
            </w:pPr>
            <w:r>
              <w:rPr>
                <w:rFonts w:ascii="Cambria Math" w:hAnsi="Cambria Math"/>
                <w:color w:val="00B050"/>
              </w:rPr>
              <w:lastRenderedPageBreak/>
              <w:t>⨁⨁⨁⨁</w:t>
            </w:r>
          </w:p>
        </w:tc>
      </w:tr>
      <w:tr w:rsidR="00467087" w14:paraId="11BE8728" w14:textId="77777777" w:rsidTr="00467087">
        <w:trPr>
          <w:trHeight w:val="436"/>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4A434518" w14:textId="77777777" w:rsidR="00467087" w:rsidRDefault="00467087">
            <w:pPr>
              <w:pStyle w:val="Tabletextbold"/>
              <w:spacing w:line="276" w:lineRule="auto"/>
            </w:pPr>
            <w:r>
              <w:t>Patient-relevant critical safety outcome (</w:t>
            </w:r>
            <w:proofErr w:type="spellStart"/>
            <w:r>
              <w:t>eg</w:t>
            </w:r>
            <w:proofErr w:type="spellEnd"/>
            <w:r>
              <w:t xml:space="preserve"> from PICO in PICO Confirmation) - serious adverse events/ measured at 12 months follow-up</w:t>
            </w:r>
          </w:p>
        </w:tc>
      </w:tr>
      <w:tr w:rsidR="00467087" w14:paraId="1A0007E5"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53D06A" w14:textId="77777777" w:rsidR="00467087" w:rsidRDefault="00467087">
            <w:pPr>
              <w:pStyle w:val="Tabletext0"/>
              <w:spacing w:line="276" w:lineRule="auto"/>
            </w:pPr>
            <w:r>
              <w:t>Serious adverse events</w:t>
            </w:r>
          </w:p>
          <w:p w14:paraId="0B6F45E8" w14:textId="77777777" w:rsidR="00467087" w:rsidRDefault="00467087">
            <w:pPr>
              <w:pStyle w:val="Tabletext0"/>
              <w:spacing w:line="276" w:lineRule="auto"/>
            </w:pPr>
            <w:r>
              <w:t>(k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D98F20"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54A128" w14:textId="77777777" w:rsidR="00467087" w:rsidRDefault="00467087">
            <w:pPr>
              <w:pStyle w:val="Tabletext0"/>
              <w:spacing w:line="276" w:lineRule="auto"/>
            </w:pPr>
            <w:r>
              <w:t>Some concerns</w:t>
            </w:r>
          </w:p>
          <w:p w14:paraId="00B74FE8" w14:textId="77777777" w:rsidR="00467087" w:rsidRDefault="00467087">
            <w:pPr>
              <w:pStyle w:val="Tabletext0"/>
              <w:spacing w:line="276" w:lineRule="auto"/>
            </w:pPr>
            <w:r>
              <w:t>Not enough to mark down</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8118A1"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9A8572"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FE4B27" w14:textId="77777777" w:rsidR="00467087" w:rsidRDefault="00467087">
            <w:pPr>
              <w:pStyle w:val="Tabletext0"/>
              <w:spacing w:line="276" w:lineRule="auto"/>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960C81"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6A9C16" w14:textId="77777777" w:rsidR="00467087" w:rsidRDefault="00467087">
            <w:pPr>
              <w:pStyle w:val="Tabletext0"/>
              <w:spacing w:line="276" w:lineRule="auto"/>
            </w:pPr>
            <w:r>
              <w:t>41</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F2CF10" w14:textId="77777777" w:rsidR="00467087" w:rsidRDefault="00467087">
            <w:pPr>
              <w:pStyle w:val="Tabletext0"/>
              <w:spacing w:line="276" w:lineRule="auto"/>
            </w:pPr>
            <w:r>
              <w:t>39</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FE4ED7" w14:textId="77777777" w:rsidR="00467087" w:rsidRDefault="00467087">
            <w:pPr>
              <w:pStyle w:val="Tabletext0"/>
              <w:spacing w:line="276" w:lineRule="auto"/>
            </w:pPr>
            <w:r>
              <w:t>RR (95% CI)</w:t>
            </w:r>
          </w:p>
          <w:p w14:paraId="41234028" w14:textId="77777777" w:rsidR="00467087" w:rsidRDefault="00467087">
            <w:pPr>
              <w:pStyle w:val="Tabletext0"/>
              <w:spacing w:line="276" w:lineRule="auto"/>
            </w:pPr>
            <w:r>
              <w:t>4.76 (0.58, 38.91) p = 0.15)</w:t>
            </w:r>
          </w:p>
          <w:p w14:paraId="00612543" w14:textId="77777777" w:rsidR="00467087" w:rsidRDefault="00467087">
            <w:pPr>
              <w:pStyle w:val="Tabletext0"/>
              <w:spacing w:line="276" w:lineRule="auto"/>
            </w:pPr>
            <w:r>
              <w:t>RD (95% CI)</w:t>
            </w:r>
          </w:p>
          <w:p w14:paraId="29DF2FF1" w14:textId="77777777" w:rsidR="00467087" w:rsidRDefault="00467087">
            <w:pPr>
              <w:pStyle w:val="Tabletext0"/>
              <w:spacing w:line="276" w:lineRule="auto"/>
            </w:pPr>
            <w:r>
              <w:t>0.10 (-0.02, 0.21)</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3EF7A8" w14:textId="77777777" w:rsidR="00467087" w:rsidRDefault="00467087">
            <w:pPr>
              <w:pStyle w:val="Tabletext0"/>
              <w:spacing w:line="276" w:lineRule="auto"/>
              <w:rPr>
                <w:rFonts w:ascii="Cambria Math" w:hAnsi="Cambria Math"/>
                <w:color w:val="00B050"/>
              </w:rPr>
            </w:pPr>
            <w:r>
              <w:rPr>
                <w:rFonts w:ascii="Cambria Math" w:hAnsi="Cambria Math"/>
                <w:color w:val="00B050"/>
              </w:rPr>
              <w:t>⨁⨁⨁⨁</w:t>
            </w:r>
          </w:p>
          <w:p w14:paraId="74AFDEB7" w14:textId="77777777" w:rsidR="00467087" w:rsidRDefault="00467087">
            <w:pPr>
              <w:pStyle w:val="Tabletext0"/>
              <w:spacing w:line="276" w:lineRule="auto"/>
            </w:pPr>
            <w:r>
              <w:t xml:space="preserve">Type of SAE not known, said to be procedure related, this likely to be done via different approach majority of times i.e. arthroscopy not </w:t>
            </w:r>
            <w:proofErr w:type="spellStart"/>
            <w:r>
              <w:t>arthrotomy</w:t>
            </w:r>
            <w:proofErr w:type="spellEnd"/>
          </w:p>
        </w:tc>
      </w:tr>
      <w:tr w:rsidR="00467087" w14:paraId="21A6BAE5"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0E3BA7F3" w14:textId="77777777" w:rsidR="00467087" w:rsidRDefault="00467087">
            <w:pPr>
              <w:pStyle w:val="Tabletextbold"/>
              <w:spacing w:line="276" w:lineRule="auto"/>
            </w:pPr>
            <w:r>
              <w:t>Patient-relevant critical safety outcome (</w:t>
            </w:r>
            <w:proofErr w:type="spellStart"/>
            <w:r>
              <w:t>eg</w:t>
            </w:r>
            <w:proofErr w:type="spellEnd"/>
            <w:r>
              <w:t xml:space="preserve"> from PICO in PICO Confirmation) – procedure-related adverse events / measured at 12 months follow-up</w:t>
            </w:r>
          </w:p>
        </w:tc>
      </w:tr>
      <w:tr w:rsidR="00467087" w14:paraId="4D92AD43"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5C9DB7" w14:textId="77777777" w:rsidR="00467087" w:rsidRDefault="00467087">
            <w:pPr>
              <w:pStyle w:val="Tabletext0"/>
              <w:spacing w:line="276" w:lineRule="auto"/>
            </w:pPr>
            <w:r>
              <w:t>Procedure-related adverse events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1B23A3" w14:textId="77777777" w:rsidR="00467087" w:rsidRDefault="00467087">
            <w:pPr>
              <w:pStyle w:val="Tabletext0"/>
              <w:spacing w:line="276" w:lineRule="auto"/>
            </w:pPr>
            <w:r>
              <w:t>RCT</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32F9DB" w14:textId="77777777" w:rsidR="00467087" w:rsidRDefault="00467087">
            <w:pPr>
              <w:pStyle w:val="Tabletext0"/>
              <w:spacing w:line="276" w:lineRule="auto"/>
            </w:pPr>
            <w:r>
              <w:t>Some concerns</w:t>
            </w:r>
          </w:p>
          <w:p w14:paraId="7AA837FF" w14:textId="77777777" w:rsidR="00467087" w:rsidRDefault="00467087">
            <w:pPr>
              <w:pStyle w:val="Tabletext0"/>
              <w:spacing w:line="276" w:lineRule="auto"/>
            </w:pPr>
            <w:r>
              <w:t>Not enough to mark down</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793224"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855656"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4DF11D" w14:textId="77777777" w:rsidR="00467087" w:rsidRDefault="00467087">
            <w:pPr>
              <w:pStyle w:val="Tabletext0"/>
              <w:spacing w:line="276" w:lineRule="auto"/>
              <w:rPr>
                <w:vertAlign w:val="superscript"/>
              </w:rPr>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27D780"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832DFA" w14:textId="77777777" w:rsidR="00467087" w:rsidRDefault="00467087">
            <w:pPr>
              <w:pStyle w:val="Tabletext0"/>
              <w:spacing w:line="276" w:lineRule="auto"/>
            </w:pPr>
            <w:r>
              <w:t>41</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87BFE9" w14:textId="77777777" w:rsidR="00467087" w:rsidRDefault="00467087">
            <w:pPr>
              <w:pStyle w:val="Tabletext0"/>
              <w:spacing w:line="276" w:lineRule="auto"/>
            </w:pPr>
            <w:r>
              <w:t>39</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DDA43A8" w14:textId="77777777" w:rsidR="00467087" w:rsidRDefault="00467087">
            <w:pPr>
              <w:pStyle w:val="Tabletext0"/>
              <w:spacing w:line="276" w:lineRule="auto"/>
            </w:pPr>
            <w:r>
              <w:t>RR (95% CI)</w:t>
            </w:r>
          </w:p>
          <w:p w14:paraId="19626118" w14:textId="77777777" w:rsidR="00467087" w:rsidRDefault="00467087">
            <w:pPr>
              <w:pStyle w:val="Tabletext0"/>
              <w:spacing w:line="276" w:lineRule="auto"/>
            </w:pPr>
            <w:r>
              <w:t>1.20 (0.99, 1.46), p = 0.06</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33A01F" w14:textId="77777777" w:rsidR="00467087" w:rsidRDefault="00467087">
            <w:pPr>
              <w:pStyle w:val="Tabletext0"/>
              <w:spacing w:line="276" w:lineRule="auto"/>
            </w:pPr>
            <w:r>
              <w:rPr>
                <w:rFonts w:ascii="Cambria Math" w:hAnsi="Cambria Math"/>
                <w:color w:val="00B050"/>
              </w:rPr>
              <w:t>⨁⨁⨁⨁</w:t>
            </w:r>
          </w:p>
        </w:tc>
      </w:tr>
      <w:tr w:rsidR="00467087" w14:paraId="1DCBD7A0"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0F0DC1AE" w14:textId="77777777" w:rsidR="00467087" w:rsidRDefault="00467087">
            <w:pPr>
              <w:pStyle w:val="Tabletextbold"/>
              <w:spacing w:line="276" w:lineRule="auto"/>
            </w:pPr>
            <w:r>
              <w:t>Patient-relevant critical safety outcome (</w:t>
            </w:r>
            <w:proofErr w:type="spellStart"/>
            <w:r>
              <w:t>eg</w:t>
            </w:r>
            <w:proofErr w:type="spellEnd"/>
            <w:r>
              <w:t xml:space="preserve"> from PICO Confirmation) - adverse events / measured at 5-year follow-up</w:t>
            </w:r>
          </w:p>
        </w:tc>
      </w:tr>
      <w:tr w:rsidR="00467087" w14:paraId="779F9C32"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1BDD6F" w14:textId="77777777" w:rsidR="00467087" w:rsidRDefault="00467087">
            <w:pPr>
              <w:pStyle w:val="Tabletext0"/>
              <w:spacing w:line="276" w:lineRule="auto"/>
            </w:pPr>
            <w:r>
              <w:t>Any adverse events</w:t>
            </w:r>
          </w:p>
          <w:p w14:paraId="380AA9AA"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1BBD65"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F3D8EFB" w14:textId="77777777" w:rsidR="00467087" w:rsidRDefault="00467087">
            <w:pPr>
              <w:pStyle w:val="Tabletext0"/>
              <w:spacing w:line="276" w:lineRule="auto"/>
            </w:pPr>
            <w:r>
              <w:t>Serious</w:t>
            </w:r>
          </w:p>
          <w:p w14:paraId="17A2EB02" w14:textId="77777777" w:rsidR="00467087" w:rsidRDefault="00467087">
            <w:pPr>
              <w:pStyle w:val="Tabletext0"/>
              <w:spacing w:line="276" w:lineRule="auto"/>
            </w:pPr>
          </w:p>
          <w:p w14:paraId="601E6B90"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116A3A"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24F0A9"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316912" w14:textId="77777777" w:rsidR="00467087" w:rsidRDefault="00467087">
            <w:pPr>
              <w:pStyle w:val="Tabletext0"/>
              <w:spacing w:line="276" w:lineRule="auto"/>
              <w:rPr>
                <w:vertAlign w:val="superscript"/>
              </w:rPr>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98C408"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A567B5" w14:textId="77777777" w:rsidR="00467087" w:rsidRDefault="00467087">
            <w:pPr>
              <w:pStyle w:val="Tabletext0"/>
              <w:spacing w:line="276" w:lineRule="auto"/>
            </w:pPr>
            <w:r>
              <w:t>33</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6886DE2"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EC5CDA" w14:textId="77777777" w:rsidR="00467087" w:rsidRDefault="00467087">
            <w:pPr>
              <w:pStyle w:val="Tabletext0"/>
              <w:spacing w:line="276" w:lineRule="auto"/>
            </w:pPr>
            <w:r>
              <w:t>NR</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B30AD0" w14:textId="77777777" w:rsidR="00467087" w:rsidRDefault="00467087">
            <w:pPr>
              <w:pStyle w:val="Tabletext0"/>
              <w:spacing w:line="276" w:lineRule="auto"/>
              <w:rPr>
                <w:rFonts w:ascii="Cambria Math" w:hAnsi="Cambria Math" w:cs="Cambria Math"/>
                <w:color w:val="C00000"/>
              </w:rPr>
            </w:pPr>
            <w:r>
              <w:rPr>
                <w:rFonts w:ascii="Cambria Math" w:hAnsi="Cambria Math"/>
                <w:color w:val="00B050"/>
              </w:rPr>
              <w:t>⨁⨁⨁</w:t>
            </w:r>
            <w:r>
              <w:rPr>
                <w:rFonts w:ascii="Cambria Math" w:hAnsi="Cambria Math" w:cs="Cambria Math"/>
                <w:color w:val="C00000"/>
              </w:rPr>
              <w:t>⨀</w:t>
            </w:r>
          </w:p>
          <w:p w14:paraId="57B28B87" w14:textId="77777777" w:rsidR="00467087" w:rsidRDefault="00467087">
            <w:pPr>
              <w:pStyle w:val="Tabletext0"/>
              <w:spacing w:line="276" w:lineRule="auto"/>
            </w:pPr>
            <w:r>
              <w:t>Most events occur in first 12 months</w:t>
            </w:r>
          </w:p>
        </w:tc>
      </w:tr>
      <w:tr w:rsidR="00467087" w14:paraId="22736D43"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4138286B" w14:textId="77777777" w:rsidR="00467087" w:rsidRDefault="00467087">
            <w:pPr>
              <w:pStyle w:val="Tabletextbold"/>
              <w:spacing w:line="276" w:lineRule="auto"/>
            </w:pPr>
            <w:r>
              <w:t>Patient-relevant critical safety outcome (</w:t>
            </w:r>
            <w:proofErr w:type="spellStart"/>
            <w:r>
              <w:t>eg</w:t>
            </w:r>
            <w:proofErr w:type="spellEnd"/>
            <w:r>
              <w:t xml:space="preserve"> from PICO in PICO Confirmation) - serious adverse events / measured at 5-year follow-up</w:t>
            </w:r>
          </w:p>
        </w:tc>
      </w:tr>
      <w:tr w:rsidR="00467087" w14:paraId="6627AA37"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335564" w14:textId="77777777" w:rsidR="00467087" w:rsidRDefault="00467087">
            <w:pPr>
              <w:pStyle w:val="Tabletext0"/>
              <w:spacing w:line="276" w:lineRule="auto"/>
            </w:pPr>
            <w:r>
              <w:t>Serious adverse events</w:t>
            </w:r>
          </w:p>
          <w:p w14:paraId="695FC40D"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9F1280D"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39A41D4" w14:textId="77777777" w:rsidR="00467087" w:rsidRDefault="00467087">
            <w:pPr>
              <w:pStyle w:val="Tabletext0"/>
              <w:spacing w:line="276" w:lineRule="auto"/>
            </w:pPr>
            <w:r>
              <w:t>Serious</w:t>
            </w:r>
          </w:p>
          <w:p w14:paraId="5FDC4A50" w14:textId="77777777" w:rsidR="00467087" w:rsidRDefault="00467087">
            <w:pPr>
              <w:pStyle w:val="Tabletext0"/>
              <w:spacing w:line="276" w:lineRule="auto"/>
            </w:pPr>
          </w:p>
          <w:p w14:paraId="211BD946"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6B0FB9"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46F603"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F58A7B4" w14:textId="77777777" w:rsidR="00467087" w:rsidRDefault="00467087">
            <w:pPr>
              <w:pStyle w:val="Tabletext0"/>
              <w:spacing w:line="276" w:lineRule="auto"/>
              <w:rPr>
                <w:vertAlign w:val="superscript"/>
              </w:rPr>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26A3B2"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62AE84" w14:textId="77777777" w:rsidR="00467087" w:rsidRDefault="00467087">
            <w:pPr>
              <w:pStyle w:val="Tabletext0"/>
              <w:spacing w:line="276" w:lineRule="auto"/>
            </w:pPr>
            <w:r>
              <w:t>33</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CDE966"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7FDA07" w14:textId="77777777" w:rsidR="00467087" w:rsidRDefault="00467087">
            <w:pPr>
              <w:pStyle w:val="Tabletext0"/>
              <w:spacing w:line="276" w:lineRule="auto"/>
            </w:pPr>
            <w:r>
              <w:t>NR</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DC0E92"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673F3AF3" w14:textId="77777777" w:rsidTr="00467087">
        <w:tc>
          <w:tcPr>
            <w:tcW w:w="5000" w:type="pct"/>
            <w:gridSpan w:val="11"/>
            <w:tcBorders>
              <w:top w:val="single" w:sz="6" w:space="0" w:color="000000"/>
              <w:left w:val="single" w:sz="6" w:space="0" w:color="000000"/>
              <w:bottom w:val="single" w:sz="6" w:space="0" w:color="000000"/>
              <w:right w:val="single" w:sz="6" w:space="0" w:color="000000"/>
            </w:tcBorders>
            <w:shd w:val="clear" w:color="auto" w:fill="DDDDDD"/>
            <w:tcMar>
              <w:top w:w="15" w:type="dxa"/>
              <w:left w:w="15" w:type="dxa"/>
              <w:bottom w:w="15" w:type="dxa"/>
              <w:right w:w="15" w:type="dxa"/>
            </w:tcMar>
            <w:hideMark/>
          </w:tcPr>
          <w:p w14:paraId="1AB9DC25" w14:textId="77777777" w:rsidR="00467087" w:rsidRDefault="00467087">
            <w:pPr>
              <w:pStyle w:val="Tabletextbold"/>
              <w:spacing w:line="276" w:lineRule="auto"/>
            </w:pPr>
            <w:r>
              <w:lastRenderedPageBreak/>
              <w:t>Patient-relevant critical safety outcome (</w:t>
            </w:r>
            <w:proofErr w:type="spellStart"/>
            <w:r>
              <w:t>eg</w:t>
            </w:r>
            <w:proofErr w:type="spellEnd"/>
            <w:r>
              <w:t xml:space="preserve"> from PICO in PICO Confirmation) – procedure-related adverse events / measured at 5-year follow-up</w:t>
            </w:r>
          </w:p>
        </w:tc>
      </w:tr>
      <w:tr w:rsidR="00467087" w14:paraId="5BF1960E" w14:textId="77777777" w:rsidTr="00467087">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C56F5D" w14:textId="77777777" w:rsidR="00467087" w:rsidRDefault="00467087">
            <w:pPr>
              <w:pStyle w:val="Tabletext0"/>
              <w:spacing w:line="276" w:lineRule="auto"/>
            </w:pPr>
            <w:r>
              <w:t>Procedure-related adverse events</w:t>
            </w:r>
          </w:p>
          <w:p w14:paraId="544E42FD" w14:textId="77777777" w:rsidR="00467087" w:rsidRDefault="00467087">
            <w:pPr>
              <w:pStyle w:val="Tabletext0"/>
              <w:spacing w:line="276" w:lineRule="auto"/>
            </w:pPr>
            <w:r>
              <w:t>(k = 1)</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96CB5A8" w14:textId="77777777" w:rsidR="00467087" w:rsidRDefault="00467087">
            <w:pPr>
              <w:pStyle w:val="Tabletext0"/>
              <w:spacing w:line="276" w:lineRule="auto"/>
            </w:pPr>
            <w:r>
              <w:t>Non-randomised comparative</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81CE64" w14:textId="77777777" w:rsidR="00467087" w:rsidRDefault="00467087">
            <w:pPr>
              <w:pStyle w:val="Tabletext0"/>
              <w:spacing w:line="276" w:lineRule="auto"/>
            </w:pPr>
            <w:r>
              <w:t>Serious</w:t>
            </w:r>
          </w:p>
          <w:p w14:paraId="20D79C6F" w14:textId="77777777" w:rsidR="00467087" w:rsidRDefault="00467087">
            <w:pPr>
              <w:pStyle w:val="Tabletext0"/>
              <w:spacing w:line="276" w:lineRule="auto"/>
            </w:pPr>
          </w:p>
          <w:p w14:paraId="0A991A74" w14:textId="77777777" w:rsidR="00467087" w:rsidRDefault="00467087">
            <w:pPr>
              <w:pStyle w:val="Tabletext0"/>
              <w:spacing w:line="276" w:lineRule="auto"/>
            </w:pP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989C99" w14:textId="77777777" w:rsidR="00467087" w:rsidRDefault="00467087">
            <w:pPr>
              <w:pStyle w:val="Tabletext0"/>
              <w:spacing w:line="276" w:lineRule="auto"/>
            </w:pPr>
            <w:r>
              <w:t>NA</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BC65DC" w14:textId="77777777" w:rsidR="00467087" w:rsidRDefault="00467087">
            <w:pPr>
              <w:pStyle w:val="Tabletext0"/>
              <w:spacing w:line="276" w:lineRule="auto"/>
            </w:pPr>
            <w:r>
              <w:t>Not serious</w:t>
            </w:r>
          </w:p>
        </w:tc>
        <w:tc>
          <w:tcPr>
            <w:tcW w:w="3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9C7F50" w14:textId="77777777" w:rsidR="00467087" w:rsidRDefault="00467087">
            <w:pPr>
              <w:pStyle w:val="Tabletext0"/>
              <w:spacing w:line="276" w:lineRule="auto"/>
              <w:rPr>
                <w:vertAlign w:val="superscript"/>
              </w:rPr>
            </w:pPr>
            <w:r>
              <w:t xml:space="preserve">Some </w:t>
            </w:r>
            <w:proofErr w:type="spellStart"/>
            <w:r>
              <w:t>concerns</w:t>
            </w:r>
            <w:r>
              <w:rPr>
                <w:vertAlign w:val="superscript"/>
              </w:rPr>
              <w:t>I</w:t>
            </w:r>
            <w:proofErr w:type="spellEnd"/>
          </w:p>
        </w:tc>
        <w:tc>
          <w:tcPr>
            <w:tcW w:w="4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CD0A76" w14:textId="77777777" w:rsidR="00467087" w:rsidRDefault="00467087">
            <w:pPr>
              <w:pStyle w:val="Tabletext0"/>
              <w:spacing w:line="276" w:lineRule="auto"/>
            </w:pPr>
            <w:r>
              <w:t>0</w:t>
            </w:r>
          </w:p>
        </w:tc>
        <w:tc>
          <w:tcPr>
            <w:tcW w:w="3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172802" w14:textId="77777777" w:rsidR="00467087" w:rsidRDefault="00467087">
            <w:pPr>
              <w:pStyle w:val="Tabletext0"/>
              <w:spacing w:line="276" w:lineRule="auto"/>
            </w:pPr>
            <w:r>
              <w:t>33</w:t>
            </w:r>
          </w:p>
        </w:tc>
        <w:tc>
          <w:tcPr>
            <w:tcW w:w="3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66B814" w14:textId="77777777" w:rsidR="00467087" w:rsidRDefault="00467087">
            <w:pPr>
              <w:pStyle w:val="Tabletext0"/>
              <w:spacing w:line="276" w:lineRule="auto"/>
            </w:pPr>
            <w:r>
              <w:t>26</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B0D1ED" w14:textId="77777777" w:rsidR="00467087" w:rsidRDefault="00467087">
            <w:pPr>
              <w:pStyle w:val="Tabletext0"/>
              <w:spacing w:line="276" w:lineRule="auto"/>
            </w:pPr>
            <w:r>
              <w:t>NR</w:t>
            </w:r>
          </w:p>
        </w:tc>
        <w:tc>
          <w:tcPr>
            <w:tcW w:w="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7231E8" w14:textId="77777777" w:rsidR="00467087" w:rsidRDefault="00467087">
            <w:pPr>
              <w:pStyle w:val="Tabletext0"/>
              <w:spacing w:line="276" w:lineRule="auto"/>
            </w:pPr>
            <w:r>
              <w:rPr>
                <w:rFonts w:ascii="Cambria Math" w:hAnsi="Cambria Math"/>
                <w:color w:val="00B050"/>
              </w:rPr>
              <w:t>⨁⨁⨁</w:t>
            </w:r>
            <w:r>
              <w:rPr>
                <w:rFonts w:ascii="Cambria Math" w:hAnsi="Cambria Math" w:cs="Cambria Math"/>
                <w:color w:val="C00000"/>
              </w:rPr>
              <w:t>⨀</w:t>
            </w:r>
          </w:p>
        </w:tc>
      </w:tr>
      <w:tr w:rsidR="00467087" w14:paraId="017CA619" w14:textId="77777777" w:rsidTr="00467087">
        <w:tc>
          <w:tcPr>
            <w:tcW w:w="5000" w:type="pct"/>
            <w:gridSpan w:val="11"/>
            <w:tcBorders>
              <w:top w:val="single" w:sz="12" w:space="0" w:color="000000"/>
              <w:left w:val="nil"/>
              <w:bottom w:val="single" w:sz="12" w:space="0" w:color="000000"/>
              <w:right w:val="nil"/>
            </w:tcBorders>
            <w:tcMar>
              <w:top w:w="15" w:type="dxa"/>
              <w:left w:w="15" w:type="dxa"/>
              <w:bottom w:w="15" w:type="dxa"/>
              <w:right w:w="15" w:type="dxa"/>
            </w:tcMar>
            <w:vAlign w:val="center"/>
            <w:hideMark/>
          </w:tcPr>
          <w:p w14:paraId="5E166BD4" w14:textId="77777777" w:rsidR="00467087" w:rsidRDefault="00467087">
            <w:pPr>
              <w:pStyle w:val="Tabletext0"/>
              <w:spacing w:line="276" w:lineRule="auto"/>
              <w:rPr>
                <w:sz w:val="18"/>
                <w:szCs w:val="18"/>
              </w:rPr>
            </w:pPr>
            <w:proofErr w:type="gramStart"/>
            <w:r>
              <w:rPr>
                <w:sz w:val="18"/>
                <w:szCs w:val="18"/>
                <w:vertAlign w:val="superscript"/>
              </w:rPr>
              <w:t xml:space="preserve">a </w:t>
            </w:r>
            <w:r>
              <w:rPr>
                <w:sz w:val="18"/>
                <w:szCs w:val="18"/>
              </w:rPr>
              <w:t>GRADE Working Group grades of evidence (</w:t>
            </w:r>
            <w:proofErr w:type="spellStart"/>
            <w:r>
              <w:rPr>
                <w:sz w:val="18"/>
                <w:szCs w:val="18"/>
              </w:rPr>
              <w:t>Guyatt</w:t>
            </w:r>
            <w:proofErr w:type="spellEnd"/>
            <w:r>
              <w:rPr>
                <w:sz w:val="18"/>
                <w:szCs w:val="18"/>
              </w:rPr>
              <w:t xml:space="preserve"> et al., 2013); </w:t>
            </w:r>
            <w:r>
              <w:rPr>
                <w:sz w:val="18"/>
                <w:szCs w:val="18"/>
                <w:vertAlign w:val="superscript"/>
              </w:rPr>
              <w:t xml:space="preserve">b </w:t>
            </w:r>
            <w:r>
              <w:rPr>
                <w:sz w:val="18"/>
                <w:szCs w:val="18"/>
              </w:rPr>
              <w:t xml:space="preserve">When our patient numbers differ from what is reported in the ADARs Table we have written the number we believe is correct in red, </w:t>
            </w:r>
            <w:r>
              <w:rPr>
                <w:sz w:val="18"/>
                <w:szCs w:val="18"/>
                <w:vertAlign w:val="superscript"/>
              </w:rPr>
              <w:t>C</w:t>
            </w:r>
            <w:r>
              <w:rPr>
                <w:sz w:val="18"/>
                <w:szCs w:val="18"/>
              </w:rPr>
              <w:t xml:space="preserve"> Evidence for Pop 1 and 2 combined, surrogate outcome, unsure of validity, </w:t>
            </w:r>
            <w:r>
              <w:rPr>
                <w:sz w:val="18"/>
                <w:szCs w:val="18"/>
                <w:vertAlign w:val="superscript"/>
              </w:rPr>
              <w:t xml:space="preserve">D </w:t>
            </w:r>
            <w:r>
              <w:t xml:space="preserve">Wide CI, small sample size, only 1 study, no defined clinically relevant effect size, </w:t>
            </w:r>
            <w:r>
              <w:rPr>
                <w:vertAlign w:val="superscript"/>
              </w:rPr>
              <w:t>E</w:t>
            </w:r>
            <w:r>
              <w:rPr>
                <w:sz w:val="18"/>
                <w:szCs w:val="18"/>
              </w:rPr>
              <w:t xml:space="preserve"> One study, small total number patients, </w:t>
            </w:r>
            <w:r>
              <w:rPr>
                <w:sz w:val="18"/>
                <w:szCs w:val="18"/>
                <w:vertAlign w:val="superscript"/>
              </w:rPr>
              <w:t>F</w:t>
            </w:r>
            <w:r>
              <w:t xml:space="preserve"> </w:t>
            </w:r>
            <w:r>
              <w:rPr>
                <w:sz w:val="18"/>
                <w:szCs w:val="18"/>
              </w:rPr>
              <w:t xml:space="preserve">Evidence for Pop 1 and 2 combined, unsure of validity for articular cartilage injuries, </w:t>
            </w:r>
            <w:r>
              <w:rPr>
                <w:sz w:val="18"/>
                <w:szCs w:val="18"/>
                <w:vertAlign w:val="superscript"/>
              </w:rPr>
              <w:t>G</w:t>
            </w:r>
            <w:r>
              <w:rPr>
                <w:sz w:val="18"/>
                <w:szCs w:val="18"/>
              </w:rPr>
              <w:t xml:space="preserve">  Concern in wide CIs, study not powered to detect a difference, </w:t>
            </w:r>
            <w:r>
              <w:rPr>
                <w:sz w:val="18"/>
                <w:szCs w:val="18"/>
                <w:vertAlign w:val="superscript"/>
              </w:rPr>
              <w:t>H</w:t>
            </w:r>
            <w:r>
              <w:rPr>
                <w:sz w:val="18"/>
                <w:szCs w:val="18"/>
              </w:rPr>
              <w:t xml:space="preserve"> Pop 1 and 2 combined, </w:t>
            </w:r>
            <w:r>
              <w:rPr>
                <w:sz w:val="18"/>
                <w:szCs w:val="18"/>
                <w:vertAlign w:val="superscript"/>
              </w:rPr>
              <w:t>I</w:t>
            </w:r>
            <w:r>
              <w:rPr>
                <w:sz w:val="18"/>
                <w:szCs w:val="18"/>
              </w:rPr>
              <w:t xml:space="preserve"> One study, small number of patients</w:t>
            </w:r>
            <w:r>
              <w:rPr>
                <w:sz w:val="18"/>
                <w:szCs w:val="18"/>
              </w:rPr>
              <w:br/>
              <w:t>High quality: Further research is very unlikely to change our confidence in the estimate of effect.</w:t>
            </w:r>
            <w:proofErr w:type="gramEnd"/>
            <w:r>
              <w:rPr>
                <w:sz w:val="18"/>
                <w:szCs w:val="18"/>
              </w:rPr>
              <w:t xml:space="preserve"> </w:t>
            </w:r>
            <w:r>
              <w:rPr>
                <w:sz w:val="18"/>
                <w:szCs w:val="18"/>
              </w:rPr>
              <w:br/>
              <w:t>Moderate quality: Further research is likely to have an important impact on our confidence in the estimate of effect and may change the estimate.</w:t>
            </w:r>
            <w:r>
              <w:rPr>
                <w:sz w:val="18"/>
                <w:szCs w:val="18"/>
              </w:rPr>
              <w:br/>
              <w:t>Low quality: Further research is very likely to have an important impact on our confidence in the estimate of effect and is likely to change the estimate.</w:t>
            </w:r>
            <w:r>
              <w:rPr>
                <w:sz w:val="18"/>
                <w:szCs w:val="18"/>
              </w:rPr>
              <w:br/>
              <w:t>Very low quality: We are very uncertain about the estimate.</w:t>
            </w:r>
          </w:p>
          <w:p w14:paraId="1D338E91" w14:textId="77777777" w:rsidR="00467087" w:rsidRDefault="00467087">
            <w:pPr>
              <w:pStyle w:val="Tabletext0"/>
              <w:spacing w:line="276" w:lineRule="auto"/>
              <w:rPr>
                <w:sz w:val="18"/>
                <w:szCs w:val="18"/>
              </w:rPr>
            </w:pPr>
            <w:r>
              <w:rPr>
                <w:b/>
                <w:bCs/>
                <w:sz w:val="18"/>
                <w:szCs w:val="18"/>
              </w:rPr>
              <w:t>Abbreviations</w:t>
            </w:r>
            <w:r>
              <w:rPr>
                <w:sz w:val="18"/>
                <w:szCs w:val="18"/>
              </w:rPr>
              <w:t xml:space="preserve">: MD: mean difference; MRI: magnetic resonance imaging; </w:t>
            </w:r>
            <w:proofErr w:type="spellStart"/>
            <w:r>
              <w:rPr>
                <w:sz w:val="18"/>
                <w:szCs w:val="18"/>
              </w:rPr>
              <w:t>ms</w:t>
            </w:r>
            <w:proofErr w:type="spellEnd"/>
            <w:r>
              <w:rPr>
                <w:sz w:val="18"/>
                <w:szCs w:val="18"/>
              </w:rPr>
              <w:t xml:space="preserve">: milliseconds; NNT: number needed to treat; NR: not reported; PICO: patients, intervention, comparator, outcomes; </w:t>
            </w:r>
          </w:p>
          <w:p w14:paraId="5DF10F64" w14:textId="77777777" w:rsidR="00467087" w:rsidRDefault="00467087">
            <w:pPr>
              <w:pStyle w:val="Tabletext0"/>
              <w:spacing w:line="276" w:lineRule="auto"/>
              <w:rPr>
                <w:sz w:val="18"/>
                <w:szCs w:val="18"/>
              </w:rPr>
            </w:pPr>
            <w:r>
              <w:rPr>
                <w:sz w:val="18"/>
                <w:szCs w:val="18"/>
              </w:rPr>
              <w:t xml:space="preserve"> SF-36: short form 36 health survey; RD: risk difference; RR: relative risk; WOMAC: Western Ontario and McMaster Universities Arthritis Index</w:t>
            </w:r>
          </w:p>
          <w:p w14:paraId="03E84A72" w14:textId="77777777" w:rsidR="00467087" w:rsidRDefault="00467087">
            <w:pPr>
              <w:pStyle w:val="Tabletext0"/>
              <w:spacing w:line="276" w:lineRule="auto"/>
              <w:rPr>
                <w:sz w:val="18"/>
                <w:szCs w:val="18"/>
              </w:rPr>
            </w:pPr>
            <w:r>
              <w:rPr>
                <w:sz w:val="18"/>
                <w:szCs w:val="18"/>
              </w:rPr>
              <w:t>Source:</w:t>
            </w:r>
            <w:r>
              <w:rPr>
                <w:b/>
                <w:sz w:val="18"/>
                <w:szCs w:val="18"/>
              </w:rPr>
              <w:t xml:space="preserve"> </w:t>
            </w:r>
            <w:r>
              <w:rPr>
                <w:sz w:val="18"/>
                <w:szCs w:val="18"/>
              </w:rPr>
              <w:t>Table 4, pp xxii-xxv of the Commentary</w:t>
            </w:r>
          </w:p>
        </w:tc>
      </w:tr>
    </w:tbl>
    <w:p w14:paraId="25FCC6C7" w14:textId="77777777" w:rsidR="00467087" w:rsidRDefault="00467087" w:rsidP="00F715D1">
      <w:pPr>
        <w:tabs>
          <w:tab w:val="left" w:pos="720"/>
          <w:tab w:val="left" w:pos="1140"/>
        </w:tabs>
        <w:spacing w:after="240"/>
        <w:rPr>
          <w:i/>
          <w:szCs w:val="24"/>
        </w:rPr>
        <w:sectPr w:rsidR="00467087" w:rsidSect="00467087">
          <w:footerReference w:type="default" r:id="rId19"/>
          <w:pgSz w:w="16838" w:h="11906" w:orient="landscape"/>
          <w:pgMar w:top="1440" w:right="1134" w:bottom="1440" w:left="426" w:header="708" w:footer="708" w:gutter="0"/>
          <w:cols w:space="708"/>
          <w:docGrid w:linePitch="360"/>
        </w:sectPr>
      </w:pPr>
    </w:p>
    <w:p w14:paraId="6D6294E3" w14:textId="77777777" w:rsidR="00BC1364" w:rsidRPr="00F715D1" w:rsidRDefault="00BC1364" w:rsidP="00467087">
      <w:pPr>
        <w:pStyle w:val="Heading1"/>
      </w:pPr>
      <w:r w:rsidRPr="00F715D1">
        <w:lastRenderedPageBreak/>
        <w:t>Comparative effectiveness</w:t>
      </w:r>
    </w:p>
    <w:p w14:paraId="79F6B093" w14:textId="7481548F" w:rsidR="00467087" w:rsidRDefault="00467087" w:rsidP="00467087">
      <w:r>
        <w:t xml:space="preserve">Results for all effectiveness outcomes as reported by the Commentary </w:t>
      </w:r>
      <w:proofErr w:type="gramStart"/>
      <w:r>
        <w:t>are presented</w:t>
      </w:r>
      <w:proofErr w:type="gramEnd"/>
      <w:r>
        <w:t xml:space="preserve"> in</w:t>
      </w:r>
      <w:r w:rsidR="00B13F9D">
        <w:t xml:space="preserve"> </w:t>
      </w:r>
      <w:r w:rsidR="00453EF2" w:rsidRPr="0095363B">
        <w:rPr>
          <w:szCs w:val="24"/>
        </w:rPr>
        <w:fldChar w:fldCharType="begin"/>
      </w:r>
      <w:r w:rsidR="00453EF2" w:rsidRPr="0095363B">
        <w:rPr>
          <w:szCs w:val="24"/>
        </w:rPr>
        <w:instrText xml:space="preserve"> REF _Ref40102173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Table</w:t>
      </w:r>
      <w:r w:rsidR="0095363B">
        <w:rPr>
          <w:szCs w:val="24"/>
        </w:rPr>
        <w:t> </w:t>
      </w:r>
      <w:r w:rsidR="0095363B" w:rsidRPr="0095363B">
        <w:rPr>
          <w:noProof/>
          <w:szCs w:val="24"/>
        </w:rPr>
        <w:t>4</w:t>
      </w:r>
      <w:r w:rsidR="00453EF2" w:rsidRPr="0095363B">
        <w:rPr>
          <w:szCs w:val="24"/>
        </w:rPr>
        <w:fldChar w:fldCharType="end"/>
      </w:r>
      <w:r w:rsidR="00B13F9D">
        <w:t>.</w:t>
      </w:r>
    </w:p>
    <w:p w14:paraId="07E0F36A" w14:textId="77777777" w:rsidR="00467087" w:rsidRDefault="00467087" w:rsidP="00467087">
      <w:pPr>
        <w:pStyle w:val="Heading2"/>
      </w:pPr>
      <w:r>
        <w:t>Structural outcomes</w:t>
      </w:r>
    </w:p>
    <w:p w14:paraId="40851A91" w14:textId="2223673E" w:rsidR="00467087" w:rsidRDefault="00467087" w:rsidP="00453EF2">
      <w:pPr>
        <w:jc w:val="both"/>
      </w:pPr>
      <w:r>
        <w:t>The ADAR’s key primary effectiveness outcomes are structural outcomes including degree of lesion fill (%), repair cartilage T2 relaxation time and structural success (% fill &gt; 70%).</w:t>
      </w:r>
    </w:p>
    <w:p w14:paraId="6B9B04C7" w14:textId="3BFFB98D" w:rsidR="00467087" w:rsidRDefault="00467087" w:rsidP="00453EF2">
      <w:pPr>
        <w:spacing w:before="240"/>
      </w:pPr>
      <w:r>
        <w:t>The Commentary considered there was uncertainty regarding the relevance of the main effectiveness outcomes, lesion quantity (percent lesion fill) and lesion quality (T2 relaxation time), which are the basis for the Applicant’s claim of superior effectiveness. Specifically, it is unknown whether differences in these outcomes translate into differences in pain and function experienced by the patient and if they do, what is the minimum difference required in each for these effects to be realised.</w:t>
      </w:r>
    </w:p>
    <w:p w14:paraId="3513381C" w14:textId="0CF218FA" w:rsidR="00467087" w:rsidRDefault="000423D3" w:rsidP="00453EF2">
      <w:pPr>
        <w:spacing w:before="240"/>
        <w:jc w:val="both"/>
      </w:pPr>
      <w:r>
        <w:t>Statistically s</w:t>
      </w:r>
      <w:r w:rsidR="00467087">
        <w:t xml:space="preserve">ignificant better results for all these structural parameters </w:t>
      </w:r>
      <w:proofErr w:type="gramStart"/>
      <w:r w:rsidR="00467087">
        <w:t>were found</w:t>
      </w:r>
      <w:proofErr w:type="gramEnd"/>
      <w:r w:rsidR="00467087">
        <w:t xml:space="preserve"> for BST-</w:t>
      </w:r>
      <w:proofErr w:type="spellStart"/>
      <w:r w:rsidR="00467087">
        <w:t>CarGel</w:t>
      </w:r>
      <w:proofErr w:type="spellEnd"/>
      <w:r w:rsidR="00467087">
        <w:t xml:space="preserve"> plus microfracture compared with microfracture alone at 12 months. The Commentary stated that significantly better results were also observed for BST-</w:t>
      </w:r>
      <w:proofErr w:type="spellStart"/>
      <w:r w:rsidR="00467087">
        <w:t>CarGel</w:t>
      </w:r>
      <w:proofErr w:type="spellEnd"/>
      <w:r w:rsidR="00467087">
        <w:t xml:space="preserve"> plus microfracture for degree of lesion fill (</w:t>
      </w:r>
      <w:proofErr w:type="gramStart"/>
      <w:r w:rsidR="00467087">
        <w:t>%</w:t>
      </w:r>
      <w:proofErr w:type="gramEnd"/>
      <w:r w:rsidR="00467087">
        <w:t xml:space="preserve">) and repair cartilage T2 relaxation time at 5 years. Structural success </w:t>
      </w:r>
      <w:proofErr w:type="gramStart"/>
      <w:r w:rsidR="00467087">
        <w:t>was not reported</w:t>
      </w:r>
      <w:proofErr w:type="gramEnd"/>
      <w:r w:rsidR="00467087">
        <w:t xml:space="preserve"> at this follow-up. The Commentary stated that there were several reasons why these results </w:t>
      </w:r>
      <w:proofErr w:type="gramStart"/>
      <w:r w:rsidR="00467087">
        <w:t>should be interpreted</w:t>
      </w:r>
      <w:proofErr w:type="gramEnd"/>
      <w:r w:rsidR="00467087">
        <w:t xml:space="preserve"> with caution:</w:t>
      </w:r>
    </w:p>
    <w:p w14:paraId="3D5C60B7" w14:textId="77777777" w:rsidR="00467087" w:rsidRDefault="00467087" w:rsidP="00467087">
      <w:pPr>
        <w:pStyle w:val="ListParagraph"/>
        <w:numPr>
          <w:ilvl w:val="0"/>
          <w:numId w:val="28"/>
        </w:numPr>
        <w:jc w:val="both"/>
      </w:pPr>
      <w:r>
        <w:t>It is unknown whether these parameters, measured by magnetic resonance imaging (MRI), are valid surrogates for patient-relevant outcomes and perceived outcomes of reduced knee pain and increased functionality.</w:t>
      </w:r>
    </w:p>
    <w:p w14:paraId="1BF71E74" w14:textId="77777777" w:rsidR="00467087" w:rsidRDefault="00467087" w:rsidP="00467087">
      <w:pPr>
        <w:pStyle w:val="ListParagraph"/>
        <w:numPr>
          <w:ilvl w:val="0"/>
          <w:numId w:val="28"/>
        </w:numPr>
        <w:jc w:val="both"/>
      </w:pPr>
      <w:r>
        <w:t>It is unclear what the minimum clinically important differences required for each of these parameters for a patient to perceive a difference in knee pain or functionality is.</w:t>
      </w:r>
    </w:p>
    <w:p w14:paraId="7258170A" w14:textId="77777777" w:rsidR="00467087" w:rsidRDefault="00467087" w:rsidP="00467087">
      <w:pPr>
        <w:pStyle w:val="ListParagraph"/>
        <w:numPr>
          <w:ilvl w:val="0"/>
          <w:numId w:val="28"/>
        </w:numPr>
        <w:jc w:val="both"/>
      </w:pPr>
      <w:r>
        <w:t>Excluding structural success, there are wide confidence intervals for both degree of lesion fill (</w:t>
      </w:r>
      <w:proofErr w:type="gramStart"/>
      <w:r>
        <w:t>%</w:t>
      </w:r>
      <w:proofErr w:type="gramEnd"/>
      <w:r>
        <w:t>) and repair cartilage T2 relaxation time resulting in a lack of certainty regarding the differences observed.</w:t>
      </w:r>
    </w:p>
    <w:p w14:paraId="0B3A25EA" w14:textId="007BE1DB" w:rsidR="00467087" w:rsidRDefault="00467087" w:rsidP="00467087">
      <w:pPr>
        <w:pStyle w:val="ListParagraph"/>
        <w:numPr>
          <w:ilvl w:val="0"/>
          <w:numId w:val="28"/>
        </w:numPr>
        <w:jc w:val="both"/>
      </w:pPr>
      <w:r>
        <w:t xml:space="preserve">The findings </w:t>
      </w:r>
      <w:proofErr w:type="gramStart"/>
      <w:r>
        <w:t>were derived</w:t>
      </w:r>
      <w:proofErr w:type="gramEnd"/>
      <w:r>
        <w:t xml:space="preserve"> from one RCT.</w:t>
      </w:r>
    </w:p>
    <w:p w14:paraId="6D1935BD" w14:textId="40AB1492" w:rsidR="00467087" w:rsidRDefault="00B13F9D" w:rsidP="00453EF2">
      <w:pPr>
        <w:spacing w:before="240"/>
        <w:jc w:val="both"/>
      </w:pPr>
      <w:r>
        <w:t>In the</w:t>
      </w:r>
      <w:r w:rsidR="00467087">
        <w:t xml:space="preserve"> pre-ESC response, the applicant stated that percent lesion fill provides an objective measure of effectiveness for which a link to patient relevant outcomes exist. Furthermore, the applicant considered that a moderate correlation between MRI parameters and clinical outcomes </w:t>
      </w:r>
      <w:proofErr w:type="gramStart"/>
      <w:r w:rsidR="00467087">
        <w:t>has been reported</w:t>
      </w:r>
      <w:proofErr w:type="gramEnd"/>
      <w:r w:rsidR="00467087">
        <w:t xml:space="preserve"> (Blackman 2013</w:t>
      </w:r>
      <w:r w:rsidR="00467087">
        <w:rPr>
          <w:rStyle w:val="FootnoteReference"/>
        </w:rPr>
        <w:footnoteReference w:id="5"/>
      </w:r>
      <w:r w:rsidR="00467087">
        <w:t xml:space="preserve">; de </w:t>
      </w:r>
      <w:proofErr w:type="spellStart"/>
      <w:r w:rsidR="00467087">
        <w:t>Windt</w:t>
      </w:r>
      <w:proofErr w:type="spellEnd"/>
      <w:r w:rsidR="00467087">
        <w:t xml:space="preserve"> 2013</w:t>
      </w:r>
      <w:r w:rsidR="00467087">
        <w:rPr>
          <w:rStyle w:val="FootnoteReference"/>
        </w:rPr>
        <w:footnoteReference w:id="6"/>
      </w:r>
      <w:r w:rsidR="00467087">
        <w:t>). The meta-analysis by Blackman (2013) showed defect fill to have a moderate to good correlation (r: [95% confidence interval [CI]:0.693: [0.358, 0.870]) with clinical outcomes.</w:t>
      </w:r>
    </w:p>
    <w:p w14:paraId="7B2F9608" w14:textId="77777777" w:rsidR="00467087" w:rsidRDefault="00467087" w:rsidP="00453EF2">
      <w:pPr>
        <w:spacing w:before="240"/>
        <w:jc w:val="both"/>
      </w:pPr>
      <w:r>
        <w:t xml:space="preserve">The ADAR advised that the threshold of &lt; 70% for treatment failure is broadly based on the categorisation of cartilage lesion fill as per </w:t>
      </w:r>
      <w:proofErr w:type="spellStart"/>
      <w:r>
        <w:t>Mithoefer</w:t>
      </w:r>
      <w:proofErr w:type="spellEnd"/>
      <w:r>
        <w:t xml:space="preserve"> (2009)</w:t>
      </w:r>
      <w:r>
        <w:rPr>
          <w:rStyle w:val="FootnoteReference"/>
        </w:rPr>
        <w:footnoteReference w:id="7"/>
      </w:r>
      <w:r>
        <w:t xml:space="preserve"> of good (67–100% fill), moderate (34–66% fill) and poor (0–33% fill). Given the correlation between lesion fill and clinical outcome as discussed above, treatment success </w:t>
      </w:r>
      <w:proofErr w:type="gramStart"/>
      <w:r>
        <w:t>is considered</w:t>
      </w:r>
      <w:proofErr w:type="gramEnd"/>
      <w:r>
        <w:t xml:space="preserve"> an important link to clinically relevant outcomes for patients undergoing lesion repair.</w:t>
      </w:r>
    </w:p>
    <w:p w14:paraId="4F36CD4C" w14:textId="77777777" w:rsidR="00467087" w:rsidRDefault="00467087" w:rsidP="00467087">
      <w:pPr>
        <w:pStyle w:val="Heading2"/>
      </w:pPr>
      <w:r>
        <w:lastRenderedPageBreak/>
        <w:t>Patient-relevant outcomes</w:t>
      </w:r>
    </w:p>
    <w:p w14:paraId="274BA096" w14:textId="3E1BAD0D" w:rsidR="00467087" w:rsidRDefault="00467087" w:rsidP="00467087">
      <w:r>
        <w:t>The Commentary considered there is also uncertainty regarding the patient reported Western Ontario and McMaster Universities Osteoarthritis Index (WOMAC) outcome, which is a tool developed and validated for people with osteoarthritis of the hip or knee. Its applicability to the proposed MBS population including people with articular cartilage damage of the knee is unknown.</w:t>
      </w:r>
    </w:p>
    <w:p w14:paraId="44B3F4E1" w14:textId="7993008C" w:rsidR="00467087" w:rsidRDefault="00467087" w:rsidP="00453EF2">
      <w:pPr>
        <w:spacing w:before="240"/>
      </w:pPr>
      <w:r>
        <w:t xml:space="preserve">The Commentary also highlighted concerns with bias for both the WOMAC and the SF-36 outcomes as these are patient reported and patients knew what treatment they received. There are also concerns with bias in the reporting of adverse events as </w:t>
      </w:r>
      <w:proofErr w:type="gramStart"/>
      <w:r>
        <w:t>these were recorded by investigators who knew what treatment the patients had received</w:t>
      </w:r>
      <w:proofErr w:type="gramEnd"/>
      <w:r>
        <w:t>. There are serious bias issues with all outcomes from both follow-up studies including the histology outcomes assessed at 13 months and the structural and patient outcomes from the 5-year follow-up study. These serious bias issues are due to the patients from the RCT, who knew what treatment they received, choosing whether to participate in these follow-up studies.</w:t>
      </w:r>
    </w:p>
    <w:p w14:paraId="46C63295" w14:textId="77777777" w:rsidR="00467087" w:rsidRDefault="00467087" w:rsidP="00453EF2">
      <w:pPr>
        <w:spacing w:before="240"/>
      </w:pPr>
      <w:r>
        <w:t xml:space="preserve">The Commentary stated that the assessment of clinical effectiveness using patient relevant outcomes (WOMAC and SF-36) failed to detect a statistically significant difference between intervention and comparator groups; however, these studies </w:t>
      </w:r>
      <w:proofErr w:type="gramStart"/>
      <w:r>
        <w:t>were not powered</w:t>
      </w:r>
      <w:proofErr w:type="gramEnd"/>
      <w:r>
        <w:t xml:space="preserve"> to detect differences in these outcomes and therefore conclusions on relative effectiveness with respect to these outcomes are uncertain.</w:t>
      </w:r>
    </w:p>
    <w:p w14:paraId="3C8F459C" w14:textId="77777777" w:rsidR="00F37B9C" w:rsidRDefault="00C06B0B" w:rsidP="00467087">
      <w:pPr>
        <w:pStyle w:val="Heading2"/>
        <w:rPr>
          <w:b/>
          <w:i w:val="0"/>
        </w:rPr>
      </w:pPr>
      <w:r w:rsidRPr="00B13F9D">
        <w:rPr>
          <w:b/>
          <w:i w:val="0"/>
        </w:rPr>
        <w:t>Clinical c</w:t>
      </w:r>
      <w:r w:rsidR="00F37B9C" w:rsidRPr="00B13F9D">
        <w:rPr>
          <w:b/>
          <w:i w:val="0"/>
        </w:rPr>
        <w:t>laim</w:t>
      </w:r>
    </w:p>
    <w:p w14:paraId="5F6E5673" w14:textId="77777777" w:rsidR="00B13F9D" w:rsidRDefault="00B13F9D" w:rsidP="00B13F9D">
      <w:r>
        <w:t>The ADAR’s clinical claim for BST-</w:t>
      </w:r>
      <w:proofErr w:type="spellStart"/>
      <w:r>
        <w:t>CarGel</w:t>
      </w:r>
      <w:proofErr w:type="spellEnd"/>
      <w:r>
        <w:t xml:space="preserve"> plus microfracture is non-inferior safety and superior effectiveness compared with microfracture alone.</w:t>
      </w:r>
    </w:p>
    <w:p w14:paraId="26F75F62" w14:textId="77777777" w:rsidR="00B13F9D" w:rsidRDefault="00B13F9D" w:rsidP="00B13F9D">
      <w:r>
        <w:t>The Commentary considered:</w:t>
      </w:r>
    </w:p>
    <w:p w14:paraId="7B12F1C3" w14:textId="77777777" w:rsidR="00B13F9D" w:rsidRDefault="00B13F9D" w:rsidP="00B13F9D">
      <w:pPr>
        <w:pStyle w:val="ListParagraph"/>
        <w:numPr>
          <w:ilvl w:val="0"/>
          <w:numId w:val="29"/>
        </w:numPr>
      </w:pPr>
      <w:proofErr w:type="gramStart"/>
      <w:r>
        <w:t>the</w:t>
      </w:r>
      <w:proofErr w:type="gramEnd"/>
      <w:r>
        <w:t xml:space="preserve"> clinical claim of non-inferior safety is justified for both the short term (12-month follow-up) and longer term (5-year follow-up).</w:t>
      </w:r>
    </w:p>
    <w:p w14:paraId="20D1CAC4" w14:textId="77777777" w:rsidR="00B13F9D" w:rsidRDefault="00B13F9D" w:rsidP="00B13F9D">
      <w:pPr>
        <w:pStyle w:val="ListParagraph"/>
        <w:numPr>
          <w:ilvl w:val="0"/>
          <w:numId w:val="29"/>
        </w:numPr>
      </w:pPr>
      <w:proofErr w:type="gramStart"/>
      <w:r>
        <w:t>for</w:t>
      </w:r>
      <w:proofErr w:type="gramEnd"/>
      <w:r>
        <w:t xml:space="preserve"> the structural outcomes, the clinical claim of superior effectiveness is justified in the short term (12-month follow-up) but not the longer term (5-year follow up). This is because of serious selection bias in the 5-year follow-up study resulting in uncertainty in the data. It should be taken into consideration; however, that the claim of superior effectiveness at 12 months is based on structural outcomes measured by MRI. The evidence regarding whether these MRI structural outcomes correspond to improved patient wellbeing (decreased pain, increased function) is conflicting. </w:t>
      </w:r>
      <w:proofErr w:type="gramStart"/>
      <w:r>
        <w:t>although</w:t>
      </w:r>
      <w:proofErr w:type="gramEnd"/>
      <w:r>
        <w:t xml:space="preserve"> it was the opinion of a clinical expert that per cent fill is a reasonable measure of success with a quantity of around 70 to 80 per cent required for a good outcome (Personal communication, orthopaedic surgeon).</w:t>
      </w:r>
    </w:p>
    <w:p w14:paraId="2B5C7DAC" w14:textId="77777777" w:rsidR="00B13F9D" w:rsidRDefault="00B13F9D" w:rsidP="00B13F9D">
      <w:pPr>
        <w:pStyle w:val="ListParagraph"/>
        <w:numPr>
          <w:ilvl w:val="0"/>
          <w:numId w:val="29"/>
        </w:numPr>
      </w:pPr>
      <w:proofErr w:type="gramStart"/>
      <w:r>
        <w:t>for</w:t>
      </w:r>
      <w:proofErr w:type="gramEnd"/>
      <w:r>
        <w:t xml:space="preserve"> patient relevant outcomes, the claim of superior effectiveness may not be supported as results for these outcomes were not statistically significant. The caveat to this finding is that the primary research was not powered to detect a difference in these </w:t>
      </w:r>
      <w:proofErr w:type="gramStart"/>
      <w:r>
        <w:t>outcomes,</w:t>
      </w:r>
      <w:proofErr w:type="gramEnd"/>
      <w:r>
        <w:t xml:space="preserve"> therefore the interpretation is subject to uncertainty.</w:t>
      </w:r>
    </w:p>
    <w:p w14:paraId="164DF95E" w14:textId="77777777" w:rsidR="00B13F9D" w:rsidRDefault="00E5606A" w:rsidP="00B13F9D">
      <w:pPr>
        <w:spacing w:before="240"/>
      </w:pPr>
      <w:r>
        <w:t>In the</w:t>
      </w:r>
      <w:r w:rsidR="00B13F9D">
        <w:t xml:space="preserve"> pre-ESC response, the applicant highlighted that improvement in cartilage quality and quantity </w:t>
      </w:r>
      <w:proofErr w:type="gramStart"/>
      <w:r w:rsidR="00B13F9D">
        <w:t>is expected</w:t>
      </w:r>
      <w:proofErr w:type="gramEnd"/>
      <w:r w:rsidR="00B13F9D">
        <w:t xml:space="preserve"> to result in improved outcomes over time (Case 2016</w:t>
      </w:r>
      <w:r w:rsidR="00B13F9D">
        <w:rPr>
          <w:rStyle w:val="FootnoteReference"/>
        </w:rPr>
        <w:footnoteReference w:id="8"/>
      </w:r>
      <w:r w:rsidR="00B13F9D">
        <w:t>). The applicant considered on the basis of superior structural outcomes observed with CARGEL+MF relative to MF alone at 12 months, coupled with the correlation between structural outcomes and clinical outcomes, it may be expected that CARGEL+MF will provide superior clinical outcomes relative to MF alone over the longer term.</w:t>
      </w:r>
    </w:p>
    <w:p w14:paraId="4864425F" w14:textId="77777777" w:rsidR="00B13F9D" w:rsidRDefault="00B13F9D" w:rsidP="00B13F9D">
      <w:pPr>
        <w:pStyle w:val="Heading2"/>
      </w:pPr>
      <w:r>
        <w:lastRenderedPageBreak/>
        <w:t>Translation issues</w:t>
      </w:r>
    </w:p>
    <w:p w14:paraId="49530B55" w14:textId="77777777" w:rsidR="00B13F9D" w:rsidRDefault="00B13F9D" w:rsidP="00B13F9D">
      <w:r>
        <w:t>The Commentary considered that issues have arisen due to the translation of structural outcome data collected at 12 months into a measure of clinical success (alleviation of knee pain) that is maintained over 20 years (base case). These are:</w:t>
      </w:r>
    </w:p>
    <w:p w14:paraId="11E68709" w14:textId="77777777" w:rsidR="00B13F9D" w:rsidRDefault="00B13F9D" w:rsidP="00B13F9D">
      <w:pPr>
        <w:pStyle w:val="ListParagraph"/>
        <w:numPr>
          <w:ilvl w:val="0"/>
          <w:numId w:val="30"/>
        </w:numPr>
      </w:pPr>
      <w:r>
        <w:t>the translation of a surrogate outcome into a measure of clinical success despite WOMAC and SF-36 data having been collected in the clinical trial (and showing no difference)</w:t>
      </w:r>
    </w:p>
    <w:p w14:paraId="53D71EDD" w14:textId="77777777" w:rsidR="00B13F9D" w:rsidRDefault="00B13F9D" w:rsidP="00B13F9D">
      <w:pPr>
        <w:pStyle w:val="ListParagraph"/>
        <w:numPr>
          <w:ilvl w:val="0"/>
          <w:numId w:val="30"/>
        </w:numPr>
      </w:pPr>
      <w:r>
        <w:t>the assumption that knee pain is the primary contributor to quality of life in patients suffering with an articular cartilage defect and the application of utilities accordingly</w:t>
      </w:r>
    </w:p>
    <w:p w14:paraId="54E08073" w14:textId="7A61EDC4" w:rsidR="00B13F9D" w:rsidRDefault="00B13F9D" w:rsidP="00B13F9D">
      <w:pPr>
        <w:pStyle w:val="ListParagraph"/>
        <w:numPr>
          <w:ilvl w:val="0"/>
          <w:numId w:val="30"/>
        </w:numPr>
      </w:pPr>
      <w:proofErr w:type="gramStart"/>
      <w:r>
        <w:t>the</w:t>
      </w:r>
      <w:proofErr w:type="gramEnd"/>
      <w:r>
        <w:t xml:space="preserve"> extrapolation (in the base case) of the incremental difference in patients achieving clinical success (itself a derived estimate) at 12-months over 20 years without considering the longevity of the intervention (is cartilage repair surgery curative or is regression expected), nor whether failed cases may require reintervention (</w:t>
      </w:r>
      <w:r w:rsidR="00453EF2" w:rsidRPr="0095363B">
        <w:rPr>
          <w:szCs w:val="24"/>
        </w:rPr>
        <w:fldChar w:fldCharType="begin"/>
      </w:r>
      <w:r w:rsidR="00453EF2" w:rsidRPr="0095363B">
        <w:rPr>
          <w:szCs w:val="24"/>
        </w:rPr>
        <w:instrText xml:space="preserve"> REF _Ref50387088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5</w:t>
      </w:r>
      <w:r w:rsidR="00453EF2" w:rsidRPr="0095363B">
        <w:rPr>
          <w:szCs w:val="24"/>
        </w:rPr>
        <w:fldChar w:fldCharType="end"/>
      </w:r>
      <w:r>
        <w:t>).</w:t>
      </w:r>
    </w:p>
    <w:p w14:paraId="43ACAD98" w14:textId="0B0124FB" w:rsidR="00B13F9D" w:rsidRPr="005522F7" w:rsidRDefault="00453EF2" w:rsidP="005522F7">
      <w:pPr>
        <w:spacing w:before="240"/>
        <w:rPr>
          <w:rFonts w:ascii="Arial Narrow" w:hAnsi="Arial Narrow"/>
          <w:b/>
          <w:sz w:val="20"/>
        </w:rPr>
      </w:pPr>
      <w:bookmarkStart w:id="9" w:name="_Ref50387088"/>
      <w:bookmarkStart w:id="10" w:name="_Toc153967310"/>
      <w:bookmarkStart w:id="11" w:name="_Toc341796370"/>
      <w:bookmarkStart w:id="12" w:name="_Toc399251137"/>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5</w:t>
      </w:r>
      <w:r w:rsidR="001647CA" w:rsidRPr="005522F7">
        <w:rPr>
          <w:rFonts w:ascii="Arial Narrow" w:hAnsi="Arial Narrow"/>
          <w:b/>
          <w:sz w:val="20"/>
        </w:rPr>
        <w:fldChar w:fldCharType="end"/>
      </w:r>
      <w:bookmarkEnd w:id="9"/>
      <w:r w:rsidR="00B13F9D" w:rsidRPr="005522F7">
        <w:rPr>
          <w:rFonts w:ascii="Arial Narrow" w:hAnsi="Arial Narrow"/>
          <w:b/>
          <w:sz w:val="20"/>
        </w:rPr>
        <w:tab/>
        <w:t>Summary of results of pre-modelling studies and their uses in the economic evaluation</w:t>
      </w:r>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8 Summary of results of pre-modelling studies and their uses in the economic evaluation"/>
        <w:tblDescription w:val="The table summarises how different evidence was used to address the translation issues identified with the clinical evidence base, including by referring to how this addition evidence is used in the economic evaluation."/>
      </w:tblPr>
      <w:tblGrid>
        <w:gridCol w:w="1413"/>
        <w:gridCol w:w="2809"/>
        <w:gridCol w:w="1269"/>
        <w:gridCol w:w="848"/>
        <w:gridCol w:w="1828"/>
        <w:gridCol w:w="849"/>
      </w:tblGrid>
      <w:tr w:rsidR="00B13F9D" w14:paraId="19E21C81" w14:textId="77777777" w:rsidTr="00B13F9D">
        <w:trPr>
          <w:cantSplit/>
          <w:tblHeader/>
        </w:trPr>
        <w:tc>
          <w:tcPr>
            <w:tcW w:w="783" w:type="pct"/>
            <w:tcBorders>
              <w:top w:val="single" w:sz="4" w:space="0" w:color="auto"/>
              <w:left w:val="single" w:sz="4" w:space="0" w:color="auto"/>
              <w:bottom w:val="single" w:sz="4" w:space="0" w:color="auto"/>
              <w:right w:val="single" w:sz="4" w:space="0" w:color="auto"/>
            </w:tcBorders>
            <w:vAlign w:val="bottom"/>
            <w:hideMark/>
          </w:tcPr>
          <w:p w14:paraId="528C76AF" w14:textId="77777777" w:rsidR="00B13F9D" w:rsidRDefault="00B13F9D">
            <w:pPr>
              <w:pStyle w:val="Tabletext0"/>
              <w:spacing w:line="276" w:lineRule="auto"/>
              <w:rPr>
                <w:b/>
              </w:rPr>
            </w:pPr>
            <w:r>
              <w:rPr>
                <w:b/>
              </w:rPr>
              <w:t>Pre-modelling study</w:t>
            </w:r>
          </w:p>
        </w:tc>
        <w:tc>
          <w:tcPr>
            <w:tcW w:w="1558" w:type="pct"/>
            <w:tcBorders>
              <w:top w:val="single" w:sz="4" w:space="0" w:color="auto"/>
              <w:left w:val="single" w:sz="4" w:space="0" w:color="auto"/>
              <w:bottom w:val="single" w:sz="4" w:space="0" w:color="auto"/>
              <w:right w:val="single" w:sz="4" w:space="0" w:color="auto"/>
            </w:tcBorders>
            <w:vAlign w:val="bottom"/>
            <w:hideMark/>
          </w:tcPr>
          <w:p w14:paraId="71B208F0" w14:textId="77777777" w:rsidR="00B13F9D" w:rsidRDefault="00B13F9D">
            <w:pPr>
              <w:pStyle w:val="Tabletext0"/>
              <w:spacing w:line="276" w:lineRule="auto"/>
              <w:rPr>
                <w:b/>
              </w:rPr>
            </w:pPr>
            <w:r>
              <w:rPr>
                <w:b/>
              </w:rPr>
              <w:t>Results</w:t>
            </w:r>
          </w:p>
        </w:tc>
        <w:tc>
          <w:tcPr>
            <w:tcW w:w="704" w:type="pct"/>
            <w:tcBorders>
              <w:top w:val="single" w:sz="4" w:space="0" w:color="auto"/>
              <w:left w:val="single" w:sz="4" w:space="0" w:color="auto"/>
              <w:bottom w:val="single" w:sz="4" w:space="0" w:color="auto"/>
              <w:right w:val="single" w:sz="4" w:space="0" w:color="auto"/>
            </w:tcBorders>
            <w:vAlign w:val="bottom"/>
            <w:hideMark/>
          </w:tcPr>
          <w:p w14:paraId="560DD892" w14:textId="77777777" w:rsidR="00B13F9D" w:rsidRDefault="00B13F9D">
            <w:pPr>
              <w:pStyle w:val="Tabletext0"/>
              <w:spacing w:line="276" w:lineRule="auto"/>
              <w:rPr>
                <w:b/>
              </w:rPr>
            </w:pPr>
            <w:r>
              <w:rPr>
                <w:b/>
              </w:rPr>
              <w:t>Use in Section D</w:t>
            </w:r>
          </w:p>
        </w:tc>
        <w:tc>
          <w:tcPr>
            <w:tcW w:w="470" w:type="pct"/>
            <w:tcBorders>
              <w:top w:val="single" w:sz="4" w:space="0" w:color="auto"/>
              <w:left w:val="single" w:sz="4" w:space="0" w:color="auto"/>
              <w:bottom w:val="single" w:sz="4" w:space="0" w:color="auto"/>
              <w:right w:val="single" w:sz="4" w:space="0" w:color="auto"/>
            </w:tcBorders>
            <w:vAlign w:val="bottom"/>
            <w:hideMark/>
          </w:tcPr>
          <w:p w14:paraId="6C3A3CC4" w14:textId="77777777" w:rsidR="00B13F9D" w:rsidRDefault="00B13F9D">
            <w:pPr>
              <w:pStyle w:val="Tabletext0"/>
              <w:spacing w:line="276" w:lineRule="auto"/>
              <w:rPr>
                <w:b/>
              </w:rPr>
            </w:pPr>
            <w:r>
              <w:rPr>
                <w:b/>
              </w:rPr>
              <w:t>Cross-Ref</w:t>
            </w:r>
          </w:p>
        </w:tc>
        <w:tc>
          <w:tcPr>
            <w:tcW w:w="1014" w:type="pct"/>
            <w:tcBorders>
              <w:top w:val="single" w:sz="4" w:space="0" w:color="auto"/>
              <w:left w:val="single" w:sz="4" w:space="0" w:color="auto"/>
              <w:bottom w:val="single" w:sz="4" w:space="0" w:color="auto"/>
              <w:right w:val="single" w:sz="4" w:space="0" w:color="auto"/>
            </w:tcBorders>
            <w:vAlign w:val="bottom"/>
            <w:hideMark/>
          </w:tcPr>
          <w:p w14:paraId="113A2258" w14:textId="77777777" w:rsidR="00B13F9D" w:rsidRDefault="00B13F9D">
            <w:pPr>
              <w:pStyle w:val="Tabletext0"/>
              <w:spacing w:line="276" w:lineRule="auto"/>
              <w:rPr>
                <w:b/>
              </w:rPr>
            </w:pPr>
            <w:r>
              <w:rPr>
                <w:b/>
              </w:rPr>
              <w:t>Use in Section D.6</w:t>
            </w:r>
          </w:p>
        </w:tc>
        <w:tc>
          <w:tcPr>
            <w:tcW w:w="471" w:type="pct"/>
            <w:tcBorders>
              <w:top w:val="single" w:sz="4" w:space="0" w:color="auto"/>
              <w:left w:val="single" w:sz="4" w:space="0" w:color="auto"/>
              <w:bottom w:val="single" w:sz="4" w:space="0" w:color="auto"/>
              <w:right w:val="single" w:sz="4" w:space="0" w:color="auto"/>
            </w:tcBorders>
            <w:vAlign w:val="bottom"/>
            <w:hideMark/>
          </w:tcPr>
          <w:p w14:paraId="7E44363F" w14:textId="77777777" w:rsidR="00B13F9D" w:rsidRDefault="00B13F9D">
            <w:pPr>
              <w:pStyle w:val="Tabletext0"/>
              <w:spacing w:line="276" w:lineRule="auto"/>
              <w:rPr>
                <w:b/>
              </w:rPr>
            </w:pPr>
            <w:r>
              <w:rPr>
                <w:b/>
              </w:rPr>
              <w:t>Cross-Ref</w:t>
            </w:r>
          </w:p>
        </w:tc>
      </w:tr>
      <w:tr w:rsidR="00B13F9D" w14:paraId="5DE12B1A" w14:textId="77777777" w:rsidTr="00B13F9D">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126C4008" w14:textId="77777777" w:rsidR="00B13F9D" w:rsidRDefault="00B13F9D">
            <w:pPr>
              <w:pStyle w:val="Tabletext0"/>
              <w:spacing w:line="276" w:lineRule="auto"/>
            </w:pPr>
            <w:r>
              <w:t>Applicability pre-modelling studies</w:t>
            </w:r>
          </w:p>
        </w:tc>
      </w:tr>
      <w:tr w:rsidR="00B13F9D" w14:paraId="67686FCD" w14:textId="77777777" w:rsidTr="00B13F9D">
        <w:trPr>
          <w:cantSplit/>
        </w:trPr>
        <w:tc>
          <w:tcPr>
            <w:tcW w:w="783" w:type="pct"/>
            <w:tcBorders>
              <w:top w:val="single" w:sz="4" w:space="0" w:color="auto"/>
              <w:left w:val="single" w:sz="4" w:space="0" w:color="auto"/>
              <w:bottom w:val="single" w:sz="4" w:space="0" w:color="auto"/>
              <w:right w:val="single" w:sz="4" w:space="0" w:color="auto"/>
            </w:tcBorders>
            <w:hideMark/>
          </w:tcPr>
          <w:p w14:paraId="223F6721" w14:textId="77777777" w:rsidR="00B13F9D" w:rsidRDefault="00B13F9D">
            <w:pPr>
              <w:pStyle w:val="Tabletext0"/>
              <w:spacing w:line="276" w:lineRule="auto"/>
              <w:rPr>
                <w:iCs/>
              </w:rPr>
            </w:pPr>
            <w:r>
              <w:rPr>
                <w:iCs/>
              </w:rPr>
              <w:t>None conducted</w:t>
            </w:r>
          </w:p>
        </w:tc>
        <w:tc>
          <w:tcPr>
            <w:tcW w:w="1558" w:type="pct"/>
            <w:tcBorders>
              <w:top w:val="single" w:sz="4" w:space="0" w:color="auto"/>
              <w:left w:val="single" w:sz="4" w:space="0" w:color="auto"/>
              <w:bottom w:val="single" w:sz="4" w:space="0" w:color="auto"/>
              <w:right w:val="single" w:sz="4" w:space="0" w:color="auto"/>
            </w:tcBorders>
            <w:hideMark/>
          </w:tcPr>
          <w:p w14:paraId="756418EE" w14:textId="77777777" w:rsidR="00B13F9D" w:rsidRDefault="00B13F9D">
            <w:pPr>
              <w:pStyle w:val="Tabletext0"/>
              <w:spacing w:line="276" w:lineRule="auto"/>
              <w:rPr>
                <w:i/>
                <w:color w:val="C00000"/>
              </w:rPr>
            </w:pPr>
            <w:r>
              <w:rPr>
                <w:i/>
                <w:color w:val="C00000"/>
              </w:rPr>
              <w:t>At a high level, the population is broadly representative of patient who will receive MBS-funded services</w:t>
            </w:r>
          </w:p>
        </w:tc>
        <w:tc>
          <w:tcPr>
            <w:tcW w:w="704" w:type="pct"/>
            <w:tcBorders>
              <w:top w:val="single" w:sz="4" w:space="0" w:color="auto"/>
              <w:left w:val="single" w:sz="4" w:space="0" w:color="auto"/>
              <w:bottom w:val="single" w:sz="4" w:space="0" w:color="auto"/>
              <w:right w:val="single" w:sz="4" w:space="0" w:color="auto"/>
            </w:tcBorders>
            <w:hideMark/>
          </w:tcPr>
          <w:p w14:paraId="1C1D484A" w14:textId="77777777" w:rsidR="00B13F9D" w:rsidRDefault="00B13F9D">
            <w:pPr>
              <w:pStyle w:val="Tabletext0"/>
              <w:spacing w:line="276" w:lineRule="auto"/>
              <w:rPr>
                <w:i/>
                <w:color w:val="C00000"/>
              </w:rPr>
            </w:pPr>
            <w:r>
              <w:rPr>
                <w:i/>
                <w:color w:val="C00000"/>
              </w:rPr>
              <w:t>NA</w:t>
            </w:r>
          </w:p>
        </w:tc>
        <w:tc>
          <w:tcPr>
            <w:tcW w:w="470" w:type="pct"/>
            <w:tcBorders>
              <w:top w:val="single" w:sz="4" w:space="0" w:color="auto"/>
              <w:left w:val="single" w:sz="4" w:space="0" w:color="auto"/>
              <w:bottom w:val="single" w:sz="4" w:space="0" w:color="auto"/>
              <w:right w:val="single" w:sz="4" w:space="0" w:color="auto"/>
            </w:tcBorders>
          </w:tcPr>
          <w:p w14:paraId="2A6B1307" w14:textId="77777777" w:rsidR="00B13F9D" w:rsidRDefault="00B13F9D">
            <w:pPr>
              <w:pStyle w:val="Tabletext0"/>
              <w:spacing w:line="276" w:lineRule="auto"/>
              <w:rPr>
                <w:i/>
                <w:color w:val="C00000"/>
              </w:rPr>
            </w:pPr>
          </w:p>
        </w:tc>
        <w:tc>
          <w:tcPr>
            <w:tcW w:w="1014" w:type="pct"/>
            <w:tcBorders>
              <w:top w:val="single" w:sz="4" w:space="0" w:color="auto"/>
              <w:left w:val="single" w:sz="4" w:space="0" w:color="auto"/>
              <w:bottom w:val="single" w:sz="4" w:space="0" w:color="auto"/>
              <w:right w:val="single" w:sz="4" w:space="0" w:color="auto"/>
            </w:tcBorders>
            <w:hideMark/>
          </w:tcPr>
          <w:p w14:paraId="68C5CCB5" w14:textId="77777777" w:rsidR="00B13F9D" w:rsidRDefault="00B13F9D">
            <w:pPr>
              <w:pStyle w:val="Tabletext0"/>
              <w:spacing w:line="276" w:lineRule="auto"/>
              <w:rPr>
                <w:i/>
                <w:color w:val="C00000"/>
              </w:rPr>
            </w:pPr>
            <w:r>
              <w:rPr>
                <w:i/>
                <w:color w:val="C00000"/>
              </w:rPr>
              <w:t>NA</w:t>
            </w:r>
          </w:p>
        </w:tc>
        <w:tc>
          <w:tcPr>
            <w:tcW w:w="471" w:type="pct"/>
            <w:tcBorders>
              <w:top w:val="single" w:sz="4" w:space="0" w:color="auto"/>
              <w:left w:val="single" w:sz="4" w:space="0" w:color="auto"/>
              <w:bottom w:val="single" w:sz="4" w:space="0" w:color="auto"/>
              <w:right w:val="single" w:sz="4" w:space="0" w:color="auto"/>
            </w:tcBorders>
          </w:tcPr>
          <w:p w14:paraId="074B1B71" w14:textId="77777777" w:rsidR="00B13F9D" w:rsidRDefault="00B13F9D">
            <w:pPr>
              <w:pStyle w:val="Tabletext0"/>
              <w:spacing w:line="276" w:lineRule="auto"/>
              <w:rPr>
                <w:i/>
                <w:color w:val="C00000"/>
              </w:rPr>
            </w:pPr>
          </w:p>
        </w:tc>
      </w:tr>
      <w:tr w:rsidR="00B13F9D" w14:paraId="110BD763" w14:textId="77777777" w:rsidTr="00B13F9D">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2C95FCB1" w14:textId="77777777" w:rsidR="00B13F9D" w:rsidRDefault="00B13F9D">
            <w:pPr>
              <w:pStyle w:val="Tabletext0"/>
              <w:spacing w:line="276" w:lineRule="auto"/>
              <w:rPr>
                <w:iCs/>
              </w:rPr>
            </w:pPr>
            <w:r>
              <w:rPr>
                <w:iCs/>
              </w:rPr>
              <w:t>Extrapolation pre-modelling studies</w:t>
            </w:r>
          </w:p>
        </w:tc>
      </w:tr>
      <w:tr w:rsidR="00B13F9D" w14:paraId="0BD38CAA" w14:textId="77777777" w:rsidTr="00B13F9D">
        <w:trPr>
          <w:cantSplit/>
        </w:trPr>
        <w:tc>
          <w:tcPr>
            <w:tcW w:w="783" w:type="pct"/>
            <w:tcBorders>
              <w:top w:val="single" w:sz="4" w:space="0" w:color="auto"/>
              <w:left w:val="single" w:sz="4" w:space="0" w:color="auto"/>
              <w:bottom w:val="single" w:sz="4" w:space="0" w:color="auto"/>
              <w:right w:val="single" w:sz="4" w:space="0" w:color="auto"/>
            </w:tcBorders>
            <w:hideMark/>
          </w:tcPr>
          <w:p w14:paraId="0E52B694" w14:textId="77777777" w:rsidR="00B13F9D" w:rsidRDefault="00B13F9D">
            <w:pPr>
              <w:pStyle w:val="Tabletext0"/>
              <w:spacing w:line="276" w:lineRule="auto"/>
              <w:rPr>
                <w:iCs/>
              </w:rPr>
            </w:pPr>
            <w:r>
              <w:rPr>
                <w:iCs/>
              </w:rPr>
              <w:t>None conducted</w:t>
            </w:r>
          </w:p>
        </w:tc>
        <w:tc>
          <w:tcPr>
            <w:tcW w:w="1558" w:type="pct"/>
            <w:tcBorders>
              <w:top w:val="single" w:sz="4" w:space="0" w:color="auto"/>
              <w:left w:val="single" w:sz="4" w:space="0" w:color="auto"/>
              <w:bottom w:val="single" w:sz="4" w:space="0" w:color="auto"/>
              <w:right w:val="single" w:sz="4" w:space="0" w:color="auto"/>
            </w:tcBorders>
            <w:hideMark/>
          </w:tcPr>
          <w:p w14:paraId="1632F56E" w14:textId="77777777" w:rsidR="00B13F9D" w:rsidRDefault="00B13F9D">
            <w:pPr>
              <w:pStyle w:val="Tabletext0"/>
              <w:spacing w:line="276" w:lineRule="auto"/>
              <w:rPr>
                <w:i/>
                <w:color w:val="C00000"/>
              </w:rPr>
            </w:pPr>
            <w:r>
              <w:rPr>
                <w:i/>
                <w:color w:val="C00000"/>
              </w:rPr>
              <w:t xml:space="preserve">Treatment effect </w:t>
            </w:r>
            <w:proofErr w:type="gramStart"/>
            <w:r>
              <w:rPr>
                <w:i/>
                <w:color w:val="C00000"/>
              </w:rPr>
              <w:t>is assumed to be maintained</w:t>
            </w:r>
            <w:proofErr w:type="gramEnd"/>
            <w:r>
              <w:rPr>
                <w:i/>
                <w:color w:val="C00000"/>
              </w:rPr>
              <w:t xml:space="preserve"> over 20 years. This may not be appropriate given the assumptions made in the base case regrading disease/patient management pathways.</w:t>
            </w:r>
          </w:p>
        </w:tc>
        <w:tc>
          <w:tcPr>
            <w:tcW w:w="704" w:type="pct"/>
            <w:tcBorders>
              <w:top w:val="single" w:sz="4" w:space="0" w:color="auto"/>
              <w:left w:val="single" w:sz="4" w:space="0" w:color="auto"/>
              <w:bottom w:val="single" w:sz="4" w:space="0" w:color="auto"/>
              <w:right w:val="single" w:sz="4" w:space="0" w:color="auto"/>
            </w:tcBorders>
            <w:hideMark/>
          </w:tcPr>
          <w:p w14:paraId="3BFE3023" w14:textId="77777777" w:rsidR="00B13F9D" w:rsidRDefault="00B13F9D">
            <w:pPr>
              <w:pStyle w:val="Tabletext0"/>
              <w:spacing w:line="276" w:lineRule="auto"/>
              <w:rPr>
                <w:i/>
                <w:color w:val="C00000"/>
              </w:rPr>
            </w:pPr>
            <w:r>
              <w:rPr>
                <w:i/>
                <w:color w:val="C00000"/>
              </w:rPr>
              <w:t>NA</w:t>
            </w:r>
          </w:p>
        </w:tc>
        <w:tc>
          <w:tcPr>
            <w:tcW w:w="470" w:type="pct"/>
            <w:tcBorders>
              <w:top w:val="single" w:sz="4" w:space="0" w:color="auto"/>
              <w:left w:val="single" w:sz="4" w:space="0" w:color="auto"/>
              <w:bottom w:val="single" w:sz="4" w:space="0" w:color="auto"/>
              <w:right w:val="single" w:sz="4" w:space="0" w:color="auto"/>
            </w:tcBorders>
          </w:tcPr>
          <w:p w14:paraId="21898AE1" w14:textId="77777777" w:rsidR="00B13F9D" w:rsidRDefault="00B13F9D">
            <w:pPr>
              <w:pStyle w:val="Tabletext0"/>
              <w:spacing w:line="276" w:lineRule="auto"/>
              <w:rPr>
                <w:i/>
                <w:color w:val="C00000"/>
              </w:rPr>
            </w:pPr>
          </w:p>
        </w:tc>
        <w:tc>
          <w:tcPr>
            <w:tcW w:w="1014" w:type="pct"/>
            <w:tcBorders>
              <w:top w:val="single" w:sz="4" w:space="0" w:color="auto"/>
              <w:left w:val="single" w:sz="4" w:space="0" w:color="auto"/>
              <w:bottom w:val="single" w:sz="4" w:space="0" w:color="auto"/>
              <w:right w:val="single" w:sz="4" w:space="0" w:color="auto"/>
            </w:tcBorders>
            <w:hideMark/>
          </w:tcPr>
          <w:p w14:paraId="34A19D40" w14:textId="77777777" w:rsidR="00B13F9D" w:rsidRDefault="00B13F9D">
            <w:pPr>
              <w:pStyle w:val="Tabletext0"/>
              <w:spacing w:line="276" w:lineRule="auto"/>
              <w:rPr>
                <w:i/>
                <w:color w:val="C00000"/>
              </w:rPr>
            </w:pPr>
            <w:r>
              <w:rPr>
                <w:i/>
                <w:color w:val="C00000"/>
              </w:rPr>
              <w:t>NA</w:t>
            </w:r>
          </w:p>
        </w:tc>
        <w:tc>
          <w:tcPr>
            <w:tcW w:w="471" w:type="pct"/>
            <w:tcBorders>
              <w:top w:val="single" w:sz="4" w:space="0" w:color="auto"/>
              <w:left w:val="single" w:sz="4" w:space="0" w:color="auto"/>
              <w:bottom w:val="single" w:sz="4" w:space="0" w:color="auto"/>
              <w:right w:val="single" w:sz="4" w:space="0" w:color="auto"/>
            </w:tcBorders>
          </w:tcPr>
          <w:p w14:paraId="371A6CFA" w14:textId="77777777" w:rsidR="00B13F9D" w:rsidRDefault="00B13F9D">
            <w:pPr>
              <w:pStyle w:val="Tabletext0"/>
              <w:spacing w:line="276" w:lineRule="auto"/>
              <w:rPr>
                <w:i/>
                <w:color w:val="C00000"/>
              </w:rPr>
            </w:pPr>
          </w:p>
        </w:tc>
      </w:tr>
      <w:tr w:rsidR="00B13F9D" w14:paraId="0CDDC292" w14:textId="77777777" w:rsidTr="00B13F9D">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4DC80111" w14:textId="77777777" w:rsidR="00B13F9D" w:rsidRDefault="00B13F9D">
            <w:pPr>
              <w:pStyle w:val="Tabletext0"/>
              <w:spacing w:line="276" w:lineRule="auto"/>
            </w:pPr>
            <w:r>
              <w:t>Transformation pre-modelling studies</w:t>
            </w:r>
          </w:p>
        </w:tc>
      </w:tr>
      <w:tr w:rsidR="00B13F9D" w14:paraId="555E09F2" w14:textId="77777777" w:rsidTr="00B13F9D">
        <w:trPr>
          <w:cantSplit/>
        </w:trPr>
        <w:tc>
          <w:tcPr>
            <w:tcW w:w="783" w:type="pct"/>
            <w:tcBorders>
              <w:top w:val="single" w:sz="4" w:space="0" w:color="auto"/>
              <w:left w:val="single" w:sz="4" w:space="0" w:color="auto"/>
              <w:bottom w:val="single" w:sz="4" w:space="0" w:color="auto"/>
              <w:right w:val="single" w:sz="4" w:space="0" w:color="auto"/>
            </w:tcBorders>
            <w:hideMark/>
          </w:tcPr>
          <w:p w14:paraId="327E02E7" w14:textId="77777777" w:rsidR="00B13F9D" w:rsidRDefault="00B13F9D">
            <w:pPr>
              <w:pStyle w:val="Tabletext0"/>
              <w:spacing w:line="276" w:lineRule="auto"/>
            </w:pPr>
            <w:r>
              <w:t>Surrogate to measure of clinical success</w:t>
            </w:r>
          </w:p>
        </w:tc>
        <w:tc>
          <w:tcPr>
            <w:tcW w:w="1558" w:type="pct"/>
            <w:tcBorders>
              <w:top w:val="single" w:sz="4" w:space="0" w:color="auto"/>
              <w:left w:val="single" w:sz="4" w:space="0" w:color="auto"/>
              <w:bottom w:val="single" w:sz="4" w:space="0" w:color="auto"/>
              <w:right w:val="single" w:sz="4" w:space="0" w:color="auto"/>
            </w:tcBorders>
            <w:hideMark/>
          </w:tcPr>
          <w:p w14:paraId="274223AC" w14:textId="77777777" w:rsidR="00B13F9D" w:rsidRDefault="00B13F9D">
            <w:pPr>
              <w:pStyle w:val="Tabletext0"/>
              <w:spacing w:after="0" w:line="276" w:lineRule="auto"/>
            </w:pPr>
            <w:r>
              <w:t xml:space="preserve">Correlation between lesion fill and clinical outcome: </w:t>
            </w:r>
            <w:r>
              <w:rPr>
                <w:i/>
              </w:rPr>
              <w:t xml:space="preserve">r </w:t>
            </w:r>
            <w:r>
              <w:t>= 0.69 (95% CI = [0.36, 0.87]), which is rescaled by the Applicant. Rescaled correlation coefficient used to derive the proportion of patients with clinical success.</w:t>
            </w:r>
          </w:p>
          <w:p w14:paraId="2F5F4977" w14:textId="77777777" w:rsidR="00B13F9D" w:rsidRDefault="00B13F9D">
            <w:pPr>
              <w:pStyle w:val="Tabletext0"/>
              <w:spacing w:after="0" w:line="276" w:lineRule="auto"/>
              <w:rPr>
                <w:i/>
                <w:color w:val="C00000"/>
              </w:rPr>
            </w:pPr>
            <w:r>
              <w:rPr>
                <w:i/>
                <w:color w:val="C00000"/>
              </w:rPr>
              <w:t xml:space="preserve">The equation used to rescale the correlation coefficient </w:t>
            </w:r>
            <w:proofErr w:type="gramStart"/>
            <w:r>
              <w:rPr>
                <w:i/>
                <w:color w:val="C00000"/>
              </w:rPr>
              <w:t>could not be verified</w:t>
            </w:r>
            <w:proofErr w:type="gramEnd"/>
            <w:r>
              <w:rPr>
                <w:i/>
                <w:color w:val="C00000"/>
              </w:rPr>
              <w:t xml:space="preserve">. Use of the equation appears </w:t>
            </w:r>
            <w:proofErr w:type="gramStart"/>
            <w:r>
              <w:rPr>
                <w:i/>
                <w:color w:val="C00000"/>
              </w:rPr>
              <w:t>to unnecessarily inflate</w:t>
            </w:r>
            <w:proofErr w:type="gramEnd"/>
            <w:r>
              <w:rPr>
                <w:i/>
                <w:color w:val="C00000"/>
              </w:rPr>
              <w:t xml:space="preserve"> correlation between structural and clinical outcomes. This favours the intervention.</w:t>
            </w:r>
          </w:p>
        </w:tc>
        <w:tc>
          <w:tcPr>
            <w:tcW w:w="704" w:type="pct"/>
            <w:tcBorders>
              <w:top w:val="single" w:sz="4" w:space="0" w:color="auto"/>
              <w:left w:val="single" w:sz="4" w:space="0" w:color="auto"/>
              <w:bottom w:val="single" w:sz="4" w:space="0" w:color="auto"/>
              <w:right w:val="single" w:sz="4" w:space="0" w:color="auto"/>
            </w:tcBorders>
            <w:hideMark/>
          </w:tcPr>
          <w:p w14:paraId="759214BF" w14:textId="77777777" w:rsidR="00B13F9D" w:rsidRDefault="00B13F9D">
            <w:pPr>
              <w:pStyle w:val="Tabletext0"/>
              <w:spacing w:line="276" w:lineRule="auto"/>
            </w:pPr>
            <w:r>
              <w:t>Yes.</w:t>
            </w:r>
          </w:p>
          <w:p w14:paraId="0032DE46" w14:textId="77777777" w:rsidR="00B13F9D" w:rsidRDefault="00B13F9D">
            <w:pPr>
              <w:pStyle w:val="Tabletext0"/>
              <w:spacing w:line="276" w:lineRule="auto"/>
            </w:pPr>
            <w:r>
              <w:t>Correlation coefficient informs the derivation of the percent of patients achieving clinical success</w:t>
            </w:r>
          </w:p>
        </w:tc>
        <w:tc>
          <w:tcPr>
            <w:tcW w:w="470" w:type="pct"/>
            <w:tcBorders>
              <w:top w:val="single" w:sz="4" w:space="0" w:color="auto"/>
              <w:left w:val="single" w:sz="4" w:space="0" w:color="auto"/>
              <w:bottom w:val="single" w:sz="4" w:space="0" w:color="auto"/>
              <w:right w:val="single" w:sz="4" w:space="0" w:color="auto"/>
            </w:tcBorders>
            <w:hideMark/>
          </w:tcPr>
          <w:p w14:paraId="3A85D2B6" w14:textId="77777777" w:rsidR="00B13F9D" w:rsidRDefault="00B13F9D">
            <w:pPr>
              <w:pStyle w:val="Tabletext0"/>
              <w:spacing w:line="276" w:lineRule="auto"/>
            </w:pPr>
            <w:r>
              <w:t>Section D.4</w:t>
            </w:r>
          </w:p>
        </w:tc>
        <w:tc>
          <w:tcPr>
            <w:tcW w:w="1014" w:type="pct"/>
            <w:tcBorders>
              <w:top w:val="single" w:sz="4" w:space="0" w:color="auto"/>
              <w:left w:val="single" w:sz="4" w:space="0" w:color="auto"/>
              <w:bottom w:val="single" w:sz="4" w:space="0" w:color="auto"/>
              <w:right w:val="single" w:sz="4" w:space="0" w:color="auto"/>
            </w:tcBorders>
            <w:hideMark/>
          </w:tcPr>
          <w:p w14:paraId="3AF15B33" w14:textId="77777777" w:rsidR="00B13F9D" w:rsidRDefault="00B13F9D">
            <w:pPr>
              <w:pStyle w:val="Tabletext0"/>
              <w:spacing w:line="276" w:lineRule="auto"/>
            </w:pPr>
            <w:r>
              <w:t>Upper and lower bounds of the 95% CI of the correlation coefficient are used.</w:t>
            </w:r>
          </w:p>
        </w:tc>
        <w:tc>
          <w:tcPr>
            <w:tcW w:w="471" w:type="pct"/>
            <w:tcBorders>
              <w:top w:val="single" w:sz="4" w:space="0" w:color="auto"/>
              <w:left w:val="single" w:sz="4" w:space="0" w:color="auto"/>
              <w:bottom w:val="single" w:sz="4" w:space="0" w:color="auto"/>
              <w:right w:val="single" w:sz="4" w:space="0" w:color="auto"/>
            </w:tcBorders>
            <w:hideMark/>
          </w:tcPr>
          <w:p w14:paraId="5844758A" w14:textId="77777777" w:rsidR="00B13F9D" w:rsidRDefault="00B13F9D">
            <w:pPr>
              <w:pStyle w:val="Tabletext0"/>
              <w:spacing w:line="276" w:lineRule="auto"/>
            </w:pPr>
            <w:r>
              <w:t>Section D.6</w:t>
            </w:r>
          </w:p>
        </w:tc>
      </w:tr>
      <w:tr w:rsidR="00B13F9D" w14:paraId="49A59D3C" w14:textId="77777777" w:rsidTr="00B13F9D">
        <w:trPr>
          <w:cantSplit/>
        </w:trPr>
        <w:tc>
          <w:tcPr>
            <w:tcW w:w="783" w:type="pct"/>
            <w:tcBorders>
              <w:top w:val="single" w:sz="4" w:space="0" w:color="auto"/>
              <w:left w:val="single" w:sz="4" w:space="0" w:color="auto"/>
              <w:bottom w:val="single" w:sz="4" w:space="0" w:color="auto"/>
              <w:right w:val="single" w:sz="4" w:space="0" w:color="auto"/>
            </w:tcBorders>
            <w:hideMark/>
          </w:tcPr>
          <w:p w14:paraId="13B06873" w14:textId="77777777" w:rsidR="00B13F9D" w:rsidRDefault="00B13F9D">
            <w:pPr>
              <w:pStyle w:val="Tabletext0"/>
              <w:spacing w:line="276" w:lineRule="auto"/>
            </w:pPr>
            <w:r>
              <w:t>Assignment of utilities to health states</w:t>
            </w:r>
          </w:p>
        </w:tc>
        <w:tc>
          <w:tcPr>
            <w:tcW w:w="1558" w:type="pct"/>
            <w:tcBorders>
              <w:top w:val="single" w:sz="4" w:space="0" w:color="auto"/>
              <w:left w:val="single" w:sz="4" w:space="0" w:color="auto"/>
              <w:bottom w:val="single" w:sz="4" w:space="0" w:color="auto"/>
              <w:right w:val="single" w:sz="4" w:space="0" w:color="auto"/>
            </w:tcBorders>
            <w:hideMark/>
          </w:tcPr>
          <w:p w14:paraId="71A3CDF4" w14:textId="77777777" w:rsidR="00B13F9D" w:rsidRDefault="00B13F9D">
            <w:pPr>
              <w:pStyle w:val="Tabletext0"/>
              <w:spacing w:line="276" w:lineRule="auto"/>
            </w:pPr>
            <w:r>
              <w:t>No knee pain: 0.92</w:t>
            </w:r>
          </w:p>
          <w:p w14:paraId="3421031A" w14:textId="77777777" w:rsidR="00B13F9D" w:rsidRDefault="00B13F9D">
            <w:pPr>
              <w:pStyle w:val="Tabletext0"/>
              <w:spacing w:line="276" w:lineRule="auto"/>
            </w:pPr>
            <w:r>
              <w:t>Knee pain: 0.8</w:t>
            </w:r>
          </w:p>
        </w:tc>
        <w:tc>
          <w:tcPr>
            <w:tcW w:w="704" w:type="pct"/>
            <w:tcBorders>
              <w:top w:val="single" w:sz="4" w:space="0" w:color="auto"/>
              <w:left w:val="single" w:sz="4" w:space="0" w:color="auto"/>
              <w:bottom w:val="single" w:sz="4" w:space="0" w:color="auto"/>
              <w:right w:val="single" w:sz="4" w:space="0" w:color="auto"/>
            </w:tcBorders>
            <w:hideMark/>
          </w:tcPr>
          <w:p w14:paraId="7180C0DA" w14:textId="77777777" w:rsidR="00B13F9D" w:rsidRDefault="00B13F9D">
            <w:pPr>
              <w:pStyle w:val="Tabletext0"/>
              <w:spacing w:line="276" w:lineRule="auto"/>
            </w:pPr>
            <w:r>
              <w:t xml:space="preserve">Yes. </w:t>
            </w:r>
          </w:p>
          <w:p w14:paraId="7373652D" w14:textId="77777777" w:rsidR="00B13F9D" w:rsidRDefault="00B13F9D">
            <w:pPr>
              <w:pStyle w:val="Tabletext0"/>
              <w:spacing w:line="276" w:lineRule="auto"/>
            </w:pPr>
            <w:r>
              <w:t>Utility values are assigned to the health states</w:t>
            </w:r>
          </w:p>
        </w:tc>
        <w:tc>
          <w:tcPr>
            <w:tcW w:w="470" w:type="pct"/>
            <w:tcBorders>
              <w:top w:val="single" w:sz="4" w:space="0" w:color="auto"/>
              <w:left w:val="single" w:sz="4" w:space="0" w:color="auto"/>
              <w:bottom w:val="single" w:sz="4" w:space="0" w:color="auto"/>
              <w:right w:val="single" w:sz="4" w:space="0" w:color="auto"/>
            </w:tcBorders>
            <w:hideMark/>
          </w:tcPr>
          <w:p w14:paraId="2CFD6476" w14:textId="77777777" w:rsidR="00B13F9D" w:rsidRDefault="00B13F9D">
            <w:pPr>
              <w:pStyle w:val="Tabletext0"/>
              <w:spacing w:line="276" w:lineRule="auto"/>
            </w:pPr>
            <w:r>
              <w:t>Section D.4</w:t>
            </w:r>
          </w:p>
        </w:tc>
        <w:tc>
          <w:tcPr>
            <w:tcW w:w="1014" w:type="pct"/>
            <w:tcBorders>
              <w:top w:val="single" w:sz="4" w:space="0" w:color="auto"/>
              <w:left w:val="single" w:sz="4" w:space="0" w:color="auto"/>
              <w:bottom w:val="single" w:sz="4" w:space="0" w:color="auto"/>
              <w:right w:val="single" w:sz="4" w:space="0" w:color="auto"/>
            </w:tcBorders>
            <w:hideMark/>
          </w:tcPr>
          <w:p w14:paraId="1003D91D" w14:textId="77777777" w:rsidR="00B13F9D" w:rsidRDefault="00B13F9D">
            <w:pPr>
              <w:pStyle w:val="Tabletext0"/>
              <w:spacing w:line="276" w:lineRule="auto"/>
            </w:pPr>
            <w:r>
              <w:t>Results from pre-modelling study not used. Utility tested via ± 25% change in the difference in utility.</w:t>
            </w:r>
          </w:p>
        </w:tc>
        <w:tc>
          <w:tcPr>
            <w:tcW w:w="471" w:type="pct"/>
            <w:tcBorders>
              <w:top w:val="single" w:sz="4" w:space="0" w:color="auto"/>
              <w:left w:val="single" w:sz="4" w:space="0" w:color="auto"/>
              <w:bottom w:val="single" w:sz="4" w:space="0" w:color="auto"/>
              <w:right w:val="single" w:sz="4" w:space="0" w:color="auto"/>
            </w:tcBorders>
            <w:hideMark/>
          </w:tcPr>
          <w:p w14:paraId="7EACE3A1" w14:textId="77777777" w:rsidR="00B13F9D" w:rsidRDefault="00B13F9D">
            <w:pPr>
              <w:pStyle w:val="Tabletext0"/>
              <w:spacing w:line="276" w:lineRule="auto"/>
            </w:pPr>
            <w:r>
              <w:t>Section D.6</w:t>
            </w:r>
          </w:p>
        </w:tc>
      </w:tr>
    </w:tbl>
    <w:p w14:paraId="718DE97A" w14:textId="77777777" w:rsidR="00B13F9D" w:rsidRPr="00B13F9D" w:rsidRDefault="00B13F9D" w:rsidP="00B13F9D">
      <w:pPr>
        <w:pStyle w:val="Tablenotes"/>
      </w:pPr>
      <w:r>
        <w:rPr>
          <w:bCs/>
        </w:rPr>
        <w:t>Source</w:t>
      </w:r>
      <w:r>
        <w:t>: Table 45, pp116-117 of the Commentary</w:t>
      </w:r>
    </w:p>
    <w:p w14:paraId="6C42CFA0" w14:textId="77777777" w:rsidR="00BC1364" w:rsidRPr="00F715D1" w:rsidRDefault="00BC1364" w:rsidP="00F715D1">
      <w:pPr>
        <w:pStyle w:val="Heading1"/>
      </w:pPr>
      <w:r w:rsidRPr="00F715D1">
        <w:lastRenderedPageBreak/>
        <w:t>Economic evaluation</w:t>
      </w:r>
    </w:p>
    <w:p w14:paraId="34F7EEC9" w14:textId="2070DC64" w:rsidR="00B13F9D" w:rsidRDefault="00B13F9D" w:rsidP="00B13F9D">
      <w:pPr>
        <w:rPr>
          <w:lang w:eastAsia="en-US"/>
        </w:rPr>
      </w:pPr>
      <w:r>
        <w:t>The ADAR assessed the cost effectiveness of BST-</w:t>
      </w:r>
      <w:proofErr w:type="spellStart"/>
      <w:r>
        <w:t>CarGel</w:t>
      </w:r>
      <w:proofErr w:type="spellEnd"/>
      <w:r>
        <w:t xml:space="preserve"> use relative to microfracture alone by conducting both a 12-month trial-based cost effectiveness analysis (with two different outcome measures) and a 20-year, modelled cost utility analysis (</w:t>
      </w:r>
      <w:r w:rsidR="00453EF2" w:rsidRPr="0095363B">
        <w:rPr>
          <w:szCs w:val="24"/>
        </w:rPr>
        <w:fldChar w:fldCharType="begin"/>
      </w:r>
      <w:r w:rsidR="00453EF2" w:rsidRPr="0095363B">
        <w:rPr>
          <w:szCs w:val="24"/>
        </w:rPr>
        <w:instrText xml:space="preserve"> REF _Ref50387118 \h </w:instrText>
      </w:r>
      <w:r w:rsidR="0095363B" w:rsidRPr="0095363B">
        <w:rPr>
          <w:szCs w:val="24"/>
        </w:rPr>
        <w:instrText xml:space="preserve"> \* MERGEFORMAT </w:instrText>
      </w:r>
      <w:r w:rsidR="00453EF2" w:rsidRPr="0095363B">
        <w:rPr>
          <w:szCs w:val="24"/>
        </w:rPr>
      </w:r>
      <w:r w:rsidR="00453EF2" w:rsidRPr="0095363B">
        <w:rPr>
          <w:szCs w:val="24"/>
        </w:rPr>
        <w:fldChar w:fldCharType="separate"/>
      </w:r>
      <w:r w:rsidR="0095363B" w:rsidRPr="0095363B">
        <w:rPr>
          <w:szCs w:val="24"/>
        </w:rPr>
        <w:t xml:space="preserve">Table </w:t>
      </w:r>
      <w:r w:rsidR="0095363B" w:rsidRPr="0095363B">
        <w:rPr>
          <w:noProof/>
          <w:szCs w:val="24"/>
        </w:rPr>
        <w:t>6</w:t>
      </w:r>
      <w:r w:rsidR="00453EF2" w:rsidRPr="0095363B">
        <w:rPr>
          <w:szCs w:val="24"/>
        </w:rPr>
        <w:fldChar w:fldCharType="end"/>
      </w:r>
      <w:r w:rsidRPr="0095363B">
        <w:rPr>
          <w:szCs w:val="24"/>
        </w:rPr>
        <w:t>)</w:t>
      </w:r>
      <w:r>
        <w:t>.</w:t>
      </w:r>
      <w:bookmarkStart w:id="13" w:name="_Ref36543529"/>
    </w:p>
    <w:p w14:paraId="26906E30" w14:textId="644CF1CF" w:rsidR="00B13F9D" w:rsidRPr="005522F7" w:rsidRDefault="00453EF2" w:rsidP="005522F7">
      <w:pPr>
        <w:spacing w:before="240"/>
        <w:rPr>
          <w:rFonts w:ascii="Arial Narrow" w:hAnsi="Arial Narrow"/>
          <w:b/>
          <w:sz w:val="20"/>
        </w:rPr>
      </w:pPr>
      <w:bookmarkStart w:id="14" w:name="_Ref50387118"/>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6</w:t>
      </w:r>
      <w:r w:rsidR="001647CA" w:rsidRPr="005522F7">
        <w:rPr>
          <w:rFonts w:ascii="Arial Narrow" w:hAnsi="Arial Narrow"/>
          <w:b/>
          <w:sz w:val="20"/>
        </w:rPr>
        <w:fldChar w:fldCharType="end"/>
      </w:r>
      <w:bookmarkEnd w:id="13"/>
      <w:bookmarkEnd w:id="14"/>
      <w:r w:rsidR="00B13F9D" w:rsidRPr="005522F7">
        <w:rPr>
          <w:rFonts w:ascii="Arial Narrow" w:hAnsi="Arial Narrow"/>
          <w:b/>
          <w:sz w:val="20"/>
        </w:rPr>
        <w:tab/>
        <w:t>Summary of the economic evaluation</w:t>
      </w:r>
    </w:p>
    <w:tbl>
      <w:tblPr>
        <w:tblStyle w:val="TableGrid"/>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07"/>
        <w:gridCol w:w="5909"/>
      </w:tblGrid>
      <w:tr w:rsidR="00B13F9D" w14:paraId="7F407412" w14:textId="77777777" w:rsidTr="00CA24F3">
        <w:trPr>
          <w:trHeight w:val="20"/>
          <w:tblHeader/>
        </w:trPr>
        <w:tc>
          <w:tcPr>
            <w:tcW w:w="1723" w:type="pct"/>
            <w:hideMark/>
          </w:tcPr>
          <w:p w14:paraId="0DDFE0C3" w14:textId="77777777" w:rsidR="00B13F9D" w:rsidRDefault="00B13F9D">
            <w:pPr>
              <w:pStyle w:val="Tabletext0"/>
              <w:spacing w:line="276" w:lineRule="auto"/>
            </w:pPr>
            <w:r>
              <w:t>Perspective</w:t>
            </w:r>
          </w:p>
        </w:tc>
        <w:tc>
          <w:tcPr>
            <w:tcW w:w="3277" w:type="pct"/>
            <w:hideMark/>
          </w:tcPr>
          <w:p w14:paraId="60BE4A97" w14:textId="77777777" w:rsidR="00B13F9D" w:rsidRDefault="00B13F9D">
            <w:pPr>
              <w:pStyle w:val="Tabletext0"/>
              <w:spacing w:line="276" w:lineRule="auto"/>
            </w:pPr>
            <w:r>
              <w:t>Australian healthcare system</w:t>
            </w:r>
          </w:p>
        </w:tc>
      </w:tr>
      <w:tr w:rsidR="00B13F9D" w14:paraId="5E979A14" w14:textId="77777777" w:rsidTr="00CA24F3">
        <w:trPr>
          <w:trHeight w:val="20"/>
        </w:trPr>
        <w:tc>
          <w:tcPr>
            <w:tcW w:w="1723" w:type="pct"/>
            <w:hideMark/>
          </w:tcPr>
          <w:p w14:paraId="66B1C1FC" w14:textId="77777777" w:rsidR="00B13F9D" w:rsidRDefault="00B13F9D">
            <w:pPr>
              <w:pStyle w:val="Tabletext0"/>
              <w:spacing w:line="276" w:lineRule="auto"/>
            </w:pPr>
            <w:r>
              <w:t>Comparator</w:t>
            </w:r>
          </w:p>
        </w:tc>
        <w:tc>
          <w:tcPr>
            <w:tcW w:w="3277" w:type="pct"/>
            <w:hideMark/>
          </w:tcPr>
          <w:p w14:paraId="4C6BCCAB" w14:textId="77777777" w:rsidR="00B13F9D" w:rsidRDefault="00B13F9D">
            <w:pPr>
              <w:pStyle w:val="Tabletext0"/>
              <w:spacing w:line="276" w:lineRule="auto"/>
            </w:pPr>
            <w:r>
              <w:t>Microfracture alone</w:t>
            </w:r>
          </w:p>
        </w:tc>
      </w:tr>
      <w:tr w:rsidR="00B13F9D" w14:paraId="7372948E" w14:textId="77777777" w:rsidTr="00CA24F3">
        <w:trPr>
          <w:trHeight w:val="20"/>
        </w:trPr>
        <w:tc>
          <w:tcPr>
            <w:tcW w:w="1723" w:type="pct"/>
            <w:hideMark/>
          </w:tcPr>
          <w:p w14:paraId="78FEE8EC" w14:textId="77777777" w:rsidR="00B13F9D" w:rsidRDefault="00B13F9D">
            <w:pPr>
              <w:pStyle w:val="Tabletext0"/>
              <w:spacing w:line="276" w:lineRule="auto"/>
            </w:pPr>
            <w:r>
              <w:t>Type of economic evaluation</w:t>
            </w:r>
          </w:p>
        </w:tc>
        <w:tc>
          <w:tcPr>
            <w:tcW w:w="3277" w:type="pct"/>
            <w:hideMark/>
          </w:tcPr>
          <w:p w14:paraId="663AA902" w14:textId="77777777" w:rsidR="00B13F9D" w:rsidRDefault="00B13F9D">
            <w:pPr>
              <w:pStyle w:val="Tabletext0"/>
              <w:spacing w:line="276" w:lineRule="auto"/>
            </w:pPr>
            <w:r>
              <w:t>Trial-based CEA and modelled CUA</w:t>
            </w:r>
          </w:p>
        </w:tc>
      </w:tr>
      <w:tr w:rsidR="00B13F9D" w14:paraId="74C19581" w14:textId="77777777" w:rsidTr="00CA24F3">
        <w:trPr>
          <w:trHeight w:val="20"/>
        </w:trPr>
        <w:tc>
          <w:tcPr>
            <w:tcW w:w="1723" w:type="pct"/>
            <w:hideMark/>
          </w:tcPr>
          <w:p w14:paraId="0DB9FBD5" w14:textId="77777777" w:rsidR="00B13F9D" w:rsidRDefault="00B13F9D">
            <w:pPr>
              <w:pStyle w:val="Tabletext0"/>
              <w:spacing w:line="276" w:lineRule="auto"/>
            </w:pPr>
            <w:r>
              <w:t>Sources of evidence</w:t>
            </w:r>
          </w:p>
        </w:tc>
        <w:tc>
          <w:tcPr>
            <w:tcW w:w="3277" w:type="pct"/>
            <w:hideMark/>
          </w:tcPr>
          <w:p w14:paraId="32FED1C1" w14:textId="77777777" w:rsidR="00B13F9D" w:rsidRDefault="00B13F9D">
            <w:pPr>
              <w:pStyle w:val="Tabletext0"/>
              <w:spacing w:line="276" w:lineRule="auto"/>
            </w:pPr>
            <w:r>
              <w:t>RCT evidence (</w:t>
            </w:r>
            <w:proofErr w:type="spellStart"/>
            <w:r>
              <w:t>Stanish</w:t>
            </w:r>
            <w:proofErr w:type="spellEnd"/>
            <w:r>
              <w:t xml:space="preserve"> et al. 2013)</w:t>
            </w:r>
          </w:p>
        </w:tc>
      </w:tr>
      <w:tr w:rsidR="00B13F9D" w14:paraId="5B535DC7" w14:textId="77777777" w:rsidTr="00CA24F3">
        <w:trPr>
          <w:trHeight w:val="20"/>
        </w:trPr>
        <w:tc>
          <w:tcPr>
            <w:tcW w:w="1723" w:type="pct"/>
            <w:hideMark/>
          </w:tcPr>
          <w:p w14:paraId="41915F23" w14:textId="77777777" w:rsidR="00B13F9D" w:rsidRDefault="00B13F9D">
            <w:pPr>
              <w:pStyle w:val="Tabletext0"/>
              <w:spacing w:line="276" w:lineRule="auto"/>
            </w:pPr>
            <w:r>
              <w:t>Time horizon</w:t>
            </w:r>
          </w:p>
        </w:tc>
        <w:tc>
          <w:tcPr>
            <w:tcW w:w="3277" w:type="pct"/>
            <w:hideMark/>
          </w:tcPr>
          <w:p w14:paraId="00FBA380" w14:textId="77777777" w:rsidR="00B13F9D" w:rsidRDefault="00B13F9D">
            <w:pPr>
              <w:pStyle w:val="Tabletext0"/>
              <w:spacing w:line="276" w:lineRule="auto"/>
            </w:pPr>
            <w:r>
              <w:t>12 months (CEA)</w:t>
            </w:r>
          </w:p>
          <w:p w14:paraId="50BC1A8C" w14:textId="77777777" w:rsidR="00B13F9D" w:rsidRDefault="00B13F9D">
            <w:pPr>
              <w:pStyle w:val="Tabletext0"/>
              <w:spacing w:line="276" w:lineRule="auto"/>
            </w:pPr>
            <w:r>
              <w:t>20 years (CUA) (base case)</w:t>
            </w:r>
          </w:p>
        </w:tc>
      </w:tr>
      <w:tr w:rsidR="00B13F9D" w14:paraId="2335F33B" w14:textId="77777777" w:rsidTr="00CA24F3">
        <w:trPr>
          <w:trHeight w:val="20"/>
        </w:trPr>
        <w:tc>
          <w:tcPr>
            <w:tcW w:w="1723" w:type="pct"/>
            <w:hideMark/>
          </w:tcPr>
          <w:p w14:paraId="28417655" w14:textId="77777777" w:rsidR="00B13F9D" w:rsidRDefault="00B13F9D">
            <w:pPr>
              <w:pStyle w:val="Tabletext0"/>
              <w:spacing w:line="276" w:lineRule="auto"/>
            </w:pPr>
            <w:r>
              <w:t>Outcomes</w:t>
            </w:r>
          </w:p>
        </w:tc>
        <w:tc>
          <w:tcPr>
            <w:tcW w:w="3277" w:type="pct"/>
            <w:hideMark/>
          </w:tcPr>
          <w:p w14:paraId="726568F4" w14:textId="77777777" w:rsidR="00B13F9D" w:rsidRDefault="00B13F9D">
            <w:pPr>
              <w:pStyle w:val="Tabletext0"/>
              <w:spacing w:line="276" w:lineRule="auto"/>
            </w:pPr>
            <w:r>
              <w:t>Structural success, defined as lesion fill of &gt;70% (CEA outcome)</w:t>
            </w:r>
          </w:p>
          <w:p w14:paraId="37783CD2" w14:textId="77777777" w:rsidR="00B13F9D" w:rsidRDefault="00B13F9D">
            <w:pPr>
              <w:pStyle w:val="Tabletext0"/>
              <w:spacing w:line="276" w:lineRule="auto"/>
            </w:pPr>
            <w:r>
              <w:t>Clinical success (assumed to be the relief of knee pain)</w:t>
            </w:r>
          </w:p>
          <w:p w14:paraId="1AC21896" w14:textId="77777777" w:rsidR="00B13F9D" w:rsidRDefault="00B13F9D">
            <w:pPr>
              <w:pStyle w:val="Tabletext0"/>
              <w:spacing w:line="276" w:lineRule="auto"/>
            </w:pPr>
            <w:r>
              <w:t>Quality-adjusted life years (QALYs) (CUA outcome)</w:t>
            </w:r>
          </w:p>
        </w:tc>
      </w:tr>
      <w:tr w:rsidR="00B13F9D" w14:paraId="1F10BE8E" w14:textId="77777777" w:rsidTr="00CA24F3">
        <w:trPr>
          <w:trHeight w:val="20"/>
        </w:trPr>
        <w:tc>
          <w:tcPr>
            <w:tcW w:w="1723" w:type="pct"/>
            <w:hideMark/>
          </w:tcPr>
          <w:p w14:paraId="67C0F5DF" w14:textId="77777777" w:rsidR="00B13F9D" w:rsidRDefault="00B13F9D">
            <w:pPr>
              <w:pStyle w:val="Tabletext0"/>
              <w:spacing w:line="276" w:lineRule="auto"/>
            </w:pPr>
            <w:r>
              <w:t>Methods used to generate results</w:t>
            </w:r>
          </w:p>
        </w:tc>
        <w:tc>
          <w:tcPr>
            <w:tcW w:w="3277" w:type="pct"/>
            <w:hideMark/>
          </w:tcPr>
          <w:p w14:paraId="70A56B3D" w14:textId="77777777" w:rsidR="00B13F9D" w:rsidRDefault="00B13F9D">
            <w:pPr>
              <w:pStyle w:val="Tabletext0"/>
              <w:spacing w:line="276" w:lineRule="auto"/>
            </w:pPr>
            <w:r>
              <w:t>Trial-based (CEA)</w:t>
            </w:r>
          </w:p>
          <w:p w14:paraId="150FED56" w14:textId="77777777" w:rsidR="00B13F9D" w:rsidRDefault="00B13F9D">
            <w:pPr>
              <w:pStyle w:val="Tabletext0"/>
              <w:spacing w:line="276" w:lineRule="auto"/>
            </w:pPr>
            <w:r>
              <w:t>State-transition cohort (Markov) model (CUA)</w:t>
            </w:r>
          </w:p>
        </w:tc>
      </w:tr>
      <w:tr w:rsidR="00B13F9D" w14:paraId="45EA9351" w14:textId="77777777" w:rsidTr="00CA24F3">
        <w:trPr>
          <w:trHeight w:val="20"/>
        </w:trPr>
        <w:tc>
          <w:tcPr>
            <w:tcW w:w="1723" w:type="pct"/>
            <w:hideMark/>
          </w:tcPr>
          <w:p w14:paraId="606B1DE8" w14:textId="77777777" w:rsidR="00B13F9D" w:rsidRDefault="00B13F9D">
            <w:pPr>
              <w:pStyle w:val="Tabletext0"/>
              <w:spacing w:line="276" w:lineRule="auto"/>
            </w:pPr>
            <w:r>
              <w:t>Health states (CUA only)</w:t>
            </w:r>
          </w:p>
        </w:tc>
        <w:tc>
          <w:tcPr>
            <w:tcW w:w="3277" w:type="pct"/>
            <w:hideMark/>
          </w:tcPr>
          <w:p w14:paraId="086742B3" w14:textId="77777777" w:rsidR="00B13F9D" w:rsidRDefault="00B13F9D" w:rsidP="00B13F9D">
            <w:pPr>
              <w:pStyle w:val="Tabletext0"/>
              <w:numPr>
                <w:ilvl w:val="0"/>
                <w:numId w:val="31"/>
              </w:numPr>
              <w:spacing w:line="276" w:lineRule="auto"/>
              <w:ind w:left="533" w:hanging="357"/>
            </w:pPr>
            <w:r>
              <w:t>Initial treatment</w:t>
            </w:r>
          </w:p>
          <w:p w14:paraId="7C767257" w14:textId="77777777" w:rsidR="00B13F9D" w:rsidRDefault="00B13F9D" w:rsidP="00B13F9D">
            <w:pPr>
              <w:pStyle w:val="Tabletext0"/>
              <w:numPr>
                <w:ilvl w:val="0"/>
                <w:numId w:val="31"/>
              </w:numPr>
              <w:spacing w:line="276" w:lineRule="auto"/>
              <w:ind w:left="533" w:hanging="357"/>
            </w:pPr>
            <w:r>
              <w:t>1L success – clinical success (no knee pain) after initial treatment</w:t>
            </w:r>
          </w:p>
          <w:p w14:paraId="670D5EFA" w14:textId="77777777" w:rsidR="00B13F9D" w:rsidRDefault="00B13F9D" w:rsidP="00B13F9D">
            <w:pPr>
              <w:pStyle w:val="Tabletext0"/>
              <w:numPr>
                <w:ilvl w:val="0"/>
                <w:numId w:val="31"/>
              </w:numPr>
              <w:spacing w:line="276" w:lineRule="auto"/>
              <w:ind w:left="533" w:hanging="357"/>
            </w:pPr>
            <w:r>
              <w:t>1L failure – clinical failure (ongoing knee pain) after initial treatment</w:t>
            </w:r>
          </w:p>
          <w:p w14:paraId="070181E7" w14:textId="77777777" w:rsidR="00B13F9D" w:rsidRDefault="00B13F9D" w:rsidP="00B13F9D">
            <w:pPr>
              <w:pStyle w:val="Tabletext0"/>
              <w:numPr>
                <w:ilvl w:val="0"/>
                <w:numId w:val="31"/>
              </w:numPr>
              <w:spacing w:line="276" w:lineRule="auto"/>
              <w:ind w:left="533" w:hanging="357"/>
            </w:pPr>
            <w:r>
              <w:t>2L success – clinical success (no knee pain) after subsequent treatment † ‡</w:t>
            </w:r>
          </w:p>
          <w:p w14:paraId="5FE12FAA" w14:textId="77777777" w:rsidR="00B13F9D" w:rsidRDefault="00B13F9D" w:rsidP="00B13F9D">
            <w:pPr>
              <w:pStyle w:val="Tabletext0"/>
              <w:numPr>
                <w:ilvl w:val="0"/>
                <w:numId w:val="31"/>
              </w:numPr>
              <w:spacing w:line="276" w:lineRule="auto"/>
              <w:ind w:left="533" w:hanging="357"/>
            </w:pPr>
            <w:r>
              <w:t>2L failure – clinical success (ongoing knee pain) after subsequent treatment † ‡</w:t>
            </w:r>
          </w:p>
          <w:p w14:paraId="5CEE882A" w14:textId="77777777" w:rsidR="00B13F9D" w:rsidRDefault="00B13F9D" w:rsidP="00B13F9D">
            <w:pPr>
              <w:pStyle w:val="Tabletext0"/>
              <w:numPr>
                <w:ilvl w:val="0"/>
                <w:numId w:val="31"/>
              </w:numPr>
              <w:spacing w:line="276" w:lineRule="auto"/>
              <w:ind w:left="533" w:hanging="357"/>
            </w:pPr>
            <w:r>
              <w:t>Dead</w:t>
            </w:r>
          </w:p>
        </w:tc>
      </w:tr>
      <w:tr w:rsidR="00B13F9D" w14:paraId="7B5685EA" w14:textId="77777777" w:rsidTr="00CA24F3">
        <w:trPr>
          <w:trHeight w:val="20"/>
        </w:trPr>
        <w:tc>
          <w:tcPr>
            <w:tcW w:w="1723" w:type="pct"/>
            <w:hideMark/>
          </w:tcPr>
          <w:p w14:paraId="53225F05" w14:textId="77777777" w:rsidR="00B13F9D" w:rsidRDefault="00B13F9D">
            <w:pPr>
              <w:pStyle w:val="Tabletext0"/>
              <w:spacing w:line="276" w:lineRule="auto"/>
            </w:pPr>
            <w:r>
              <w:t>Cycle length (CUA only)</w:t>
            </w:r>
          </w:p>
        </w:tc>
        <w:tc>
          <w:tcPr>
            <w:tcW w:w="3277" w:type="pct"/>
            <w:hideMark/>
          </w:tcPr>
          <w:p w14:paraId="68A41F6D" w14:textId="77777777" w:rsidR="00B13F9D" w:rsidRDefault="00B13F9D">
            <w:pPr>
              <w:pStyle w:val="Tabletext0"/>
              <w:spacing w:line="276" w:lineRule="auto"/>
            </w:pPr>
            <w:r>
              <w:t>1 year</w:t>
            </w:r>
          </w:p>
        </w:tc>
      </w:tr>
      <w:tr w:rsidR="00B13F9D" w14:paraId="341C2C40" w14:textId="77777777" w:rsidTr="00CA24F3">
        <w:trPr>
          <w:trHeight w:val="20"/>
        </w:trPr>
        <w:tc>
          <w:tcPr>
            <w:tcW w:w="1723" w:type="pct"/>
            <w:hideMark/>
          </w:tcPr>
          <w:p w14:paraId="415C62BC" w14:textId="77777777" w:rsidR="00B13F9D" w:rsidRDefault="00B13F9D">
            <w:pPr>
              <w:pStyle w:val="Tabletext0"/>
              <w:spacing w:line="276" w:lineRule="auto"/>
            </w:pPr>
            <w:r>
              <w:t>Discount rate</w:t>
            </w:r>
          </w:p>
        </w:tc>
        <w:tc>
          <w:tcPr>
            <w:tcW w:w="3277" w:type="pct"/>
            <w:hideMark/>
          </w:tcPr>
          <w:p w14:paraId="1044A289" w14:textId="77777777" w:rsidR="00B13F9D" w:rsidRDefault="00B13F9D">
            <w:pPr>
              <w:pStyle w:val="Tabletext0"/>
              <w:spacing w:line="276" w:lineRule="auto"/>
            </w:pPr>
            <w:r>
              <w:t>5 % (base case)</w:t>
            </w:r>
          </w:p>
        </w:tc>
      </w:tr>
      <w:tr w:rsidR="00B13F9D" w14:paraId="36C40C15" w14:textId="77777777" w:rsidTr="00CA24F3">
        <w:trPr>
          <w:trHeight w:val="20"/>
        </w:trPr>
        <w:tc>
          <w:tcPr>
            <w:tcW w:w="1723" w:type="pct"/>
            <w:hideMark/>
          </w:tcPr>
          <w:p w14:paraId="37DA5BDB" w14:textId="77777777" w:rsidR="00B13F9D" w:rsidRDefault="00B13F9D">
            <w:pPr>
              <w:pStyle w:val="Tabletext0"/>
              <w:spacing w:line="276" w:lineRule="auto"/>
            </w:pPr>
            <w:r>
              <w:t>Software packages used</w:t>
            </w:r>
          </w:p>
        </w:tc>
        <w:tc>
          <w:tcPr>
            <w:tcW w:w="3277" w:type="pct"/>
            <w:hideMark/>
          </w:tcPr>
          <w:p w14:paraId="4F02BAC6" w14:textId="77777777" w:rsidR="00B13F9D" w:rsidRDefault="00B13F9D">
            <w:pPr>
              <w:pStyle w:val="Tabletext0"/>
              <w:spacing w:line="276" w:lineRule="auto"/>
            </w:pPr>
            <w:r>
              <w:t>Microsoft Excel</w:t>
            </w:r>
          </w:p>
        </w:tc>
      </w:tr>
    </w:tbl>
    <w:p w14:paraId="1A10466A" w14:textId="77777777" w:rsidR="00B13F9D" w:rsidRDefault="00B13F9D" w:rsidP="00B13F9D">
      <w:pPr>
        <w:pStyle w:val="Tablenotes"/>
      </w:pPr>
      <w:r>
        <w:rPr>
          <w:b/>
          <w:bCs/>
        </w:rPr>
        <w:t>Abbreviations</w:t>
      </w:r>
      <w:r>
        <w:t>: CEA = cost effectiveness analysis; CUA = cost utility analysis, QALY = quality-adjusted life year; RCT = randomised controlled trial</w:t>
      </w:r>
    </w:p>
    <w:p w14:paraId="7D6A209A" w14:textId="77777777" w:rsidR="00B13F9D" w:rsidRDefault="00B13F9D" w:rsidP="00B13F9D">
      <w:pPr>
        <w:pStyle w:val="Tablenotes"/>
      </w:pPr>
      <w:r>
        <w:rPr>
          <w:b/>
          <w:bCs/>
        </w:rPr>
        <w:t>Notes</w:t>
      </w:r>
      <w:r>
        <w:t xml:space="preserve">: 1L and 2L differentiate between health states entered following either the initial </w:t>
      </w:r>
      <w:proofErr w:type="gramStart"/>
      <w:r>
        <w:t>or secondary</w:t>
      </w:r>
      <w:proofErr w:type="gramEnd"/>
      <w:r>
        <w:t xml:space="preserve"> surgery, respectively</w:t>
      </w:r>
    </w:p>
    <w:p w14:paraId="6B71BAD0" w14:textId="77777777" w:rsidR="00B13F9D" w:rsidRDefault="00B13F9D" w:rsidP="00B13F9D">
      <w:pPr>
        <w:pStyle w:val="Tablenotes"/>
      </w:pPr>
      <w:r>
        <w:t>† = these health states are only ever occupied in sensitivity analyses (i.e. not in the base case); ‡ = where included (sensitivity analysis only), subsequent treatments are possible only once per patient therefore, once in the 2L success or failure state, a patient can only remain in the respective state, or transition to the dead (absorbing) state.</w:t>
      </w:r>
    </w:p>
    <w:p w14:paraId="0518BBF8" w14:textId="77777777" w:rsidR="00B13F9D" w:rsidRDefault="00B13F9D" w:rsidP="00B13F9D">
      <w:pPr>
        <w:pStyle w:val="Tablenotes"/>
      </w:pPr>
      <w:r>
        <w:rPr>
          <w:b/>
          <w:bCs/>
        </w:rPr>
        <w:t>Source</w:t>
      </w:r>
      <w:r>
        <w:t>: adapted from Table 45 (p.92) of the ADAR document</w:t>
      </w:r>
    </w:p>
    <w:p w14:paraId="20EFDD0E" w14:textId="77777777" w:rsidR="00B13F9D" w:rsidRDefault="00B13F9D" w:rsidP="00453EF2">
      <w:pPr>
        <w:spacing w:before="240"/>
      </w:pPr>
      <w:r>
        <w:t>The key structural assumptions of the ADAR’s model are:</w:t>
      </w:r>
    </w:p>
    <w:p w14:paraId="2D003243" w14:textId="77777777" w:rsidR="00B13F9D" w:rsidRDefault="00B13F9D" w:rsidP="00B13F9D">
      <w:pPr>
        <w:pStyle w:val="ListParagraph"/>
        <w:numPr>
          <w:ilvl w:val="0"/>
          <w:numId w:val="32"/>
        </w:numPr>
      </w:pPr>
      <w:r>
        <w:t>Structural outcomes are correlated with clinical outcomes</w:t>
      </w:r>
    </w:p>
    <w:p w14:paraId="7B94F573" w14:textId="77777777" w:rsidR="00B13F9D" w:rsidRDefault="00B13F9D" w:rsidP="00B13F9D">
      <w:pPr>
        <w:pStyle w:val="ListParagraph"/>
        <w:numPr>
          <w:ilvl w:val="0"/>
          <w:numId w:val="32"/>
        </w:numPr>
      </w:pPr>
      <w:r>
        <w:t>Knee pain is a primary contributor to quality of life in focal cartilage defects</w:t>
      </w:r>
    </w:p>
    <w:p w14:paraId="1C993710" w14:textId="77777777" w:rsidR="00B13F9D" w:rsidRDefault="00B13F9D" w:rsidP="00B13F9D">
      <w:pPr>
        <w:pStyle w:val="ListParagraph"/>
        <w:numPr>
          <w:ilvl w:val="0"/>
          <w:numId w:val="32"/>
        </w:numPr>
      </w:pPr>
      <w:r>
        <w:t>Successful treatment relieves patient symptoms (i.e. knee pain)</w:t>
      </w:r>
    </w:p>
    <w:p w14:paraId="3CE22513" w14:textId="77777777" w:rsidR="00B13F9D" w:rsidRDefault="00B13F9D" w:rsidP="00B13F9D">
      <w:pPr>
        <w:pStyle w:val="ListParagraph"/>
        <w:numPr>
          <w:ilvl w:val="0"/>
          <w:numId w:val="32"/>
        </w:numPr>
      </w:pPr>
      <w:r>
        <w:t>No risk of subsequent treatment (in the base case)</w:t>
      </w:r>
    </w:p>
    <w:p w14:paraId="4AB50F96" w14:textId="77777777" w:rsidR="00B13F9D" w:rsidRDefault="00B13F9D" w:rsidP="00B13F9D">
      <w:pPr>
        <w:pStyle w:val="ListParagraph"/>
        <w:numPr>
          <w:ilvl w:val="0"/>
          <w:numId w:val="32"/>
        </w:numPr>
      </w:pPr>
      <w:r>
        <w:t xml:space="preserve">Treatment success/failure </w:t>
      </w:r>
      <w:proofErr w:type="gramStart"/>
      <w:r>
        <w:t>is sustained</w:t>
      </w:r>
      <w:proofErr w:type="gramEnd"/>
      <w:r>
        <w:t xml:space="preserve"> for the duration of the model.</w:t>
      </w:r>
    </w:p>
    <w:p w14:paraId="3A359E77" w14:textId="61FFE883" w:rsidR="00B13F9D" w:rsidRDefault="00B13F9D" w:rsidP="00B13F9D">
      <w:r>
        <w:t xml:space="preserve">The Commentary sought expert advice, which suggested that microfracture (alone) </w:t>
      </w:r>
      <w:proofErr w:type="gramStart"/>
      <w:r>
        <w:t>is not considered</w:t>
      </w:r>
      <w:proofErr w:type="gramEnd"/>
      <w:r>
        <w:t xml:space="preserve"> a long-term cure and often, patients need to go on to other procedures later in life (Personal communication, orthopaedic surgeon). Based on the advice received, the Commentary considered it was unlikely that there are no subsequent surgical treatments, nor any regression, over a 20-year period.</w:t>
      </w:r>
    </w:p>
    <w:p w14:paraId="2F55A08E" w14:textId="42BC3193" w:rsidR="00B13F9D" w:rsidRDefault="00B13F9D" w:rsidP="0095363B">
      <w:pPr>
        <w:spacing w:before="240"/>
      </w:pPr>
      <w:r>
        <w:lastRenderedPageBreak/>
        <w:t>In addition, the Commentary considered that a binary measure of clinical success (which essentially represents the relief, or not, of knee pain) was derived via application of a correlation coefficient to the surrogate outcome (structural success). The Commentary considered this step is problematic and introduces a great degree of unce</w:t>
      </w:r>
      <w:r w:rsidR="00E5606A">
        <w:t>rtainty into the model. In the</w:t>
      </w:r>
      <w:r>
        <w:t xml:space="preserve"> pre-ESC response, the applicant acknowledged this uncertainty; however, considered it was not an unreasonable assumption that 69.3% of the patients who benefit from CARGEL on structural outcomes go on to benefit in terms of clinical and quality of life outcomes.</w:t>
      </w:r>
    </w:p>
    <w:p w14:paraId="02FD4613" w14:textId="6B8A0F8A" w:rsidR="00B13F9D" w:rsidRDefault="00B13F9D" w:rsidP="00453EF2">
      <w:pPr>
        <w:spacing w:before="240"/>
      </w:pPr>
      <w:r>
        <w:t xml:space="preserve">The results of a stepped analysis of the economic evaluation </w:t>
      </w:r>
      <w:proofErr w:type="gramStart"/>
      <w:r>
        <w:t>are given</w:t>
      </w:r>
      <w:proofErr w:type="gramEnd"/>
      <w:r>
        <w:t xml:space="preserve"> in </w:t>
      </w:r>
      <w:r w:rsidR="00212D24" w:rsidRPr="0095363B">
        <w:rPr>
          <w:szCs w:val="24"/>
        </w:rPr>
        <w:fldChar w:fldCharType="begin"/>
      </w:r>
      <w:r w:rsidR="00212D24" w:rsidRPr="0095363B">
        <w:rPr>
          <w:szCs w:val="24"/>
        </w:rPr>
        <w:instrText xml:space="preserve"> REF _Ref50387156 \h </w:instrText>
      </w:r>
      <w:r w:rsidR="0095363B" w:rsidRPr="0095363B">
        <w:rPr>
          <w:szCs w:val="24"/>
        </w:rPr>
        <w:instrText xml:space="preserve"> \* MERGEFORMAT </w:instrText>
      </w:r>
      <w:r w:rsidR="00212D24" w:rsidRPr="0095363B">
        <w:rPr>
          <w:szCs w:val="24"/>
        </w:rPr>
      </w:r>
      <w:r w:rsidR="00212D24" w:rsidRPr="0095363B">
        <w:rPr>
          <w:szCs w:val="24"/>
        </w:rPr>
        <w:fldChar w:fldCharType="separate"/>
      </w:r>
      <w:r w:rsidR="0095363B" w:rsidRPr="0095363B">
        <w:rPr>
          <w:szCs w:val="24"/>
        </w:rPr>
        <w:t xml:space="preserve">Table </w:t>
      </w:r>
      <w:r w:rsidR="0095363B" w:rsidRPr="0095363B">
        <w:rPr>
          <w:noProof/>
          <w:szCs w:val="24"/>
        </w:rPr>
        <w:t>7</w:t>
      </w:r>
      <w:r w:rsidR="00212D24" w:rsidRPr="0095363B">
        <w:rPr>
          <w:szCs w:val="24"/>
        </w:rPr>
        <w:fldChar w:fldCharType="end"/>
      </w:r>
      <w:r>
        <w:t xml:space="preserve">. The Commentary revised the ADAR’s base case model in red italics below, making small technical changes: updating the annual discount formula, background mortality probability, cost of surgical assistance, transition to death in the first cycle and the </w:t>
      </w:r>
      <w:proofErr w:type="gramStart"/>
      <w:r>
        <w:t>comparator health state cost</w:t>
      </w:r>
      <w:proofErr w:type="gramEnd"/>
      <w:r>
        <w:t xml:space="preserve"> (use of discounted value).</w:t>
      </w:r>
    </w:p>
    <w:p w14:paraId="4E5B09AE" w14:textId="580373E6" w:rsidR="00B13F9D" w:rsidRPr="00212D24" w:rsidRDefault="00B13F9D" w:rsidP="00212D24">
      <w:pPr>
        <w:spacing w:before="240"/>
        <w:rPr>
          <w:i/>
        </w:rPr>
      </w:pPr>
      <w:r>
        <w:t xml:space="preserve">Despite resolving these small technical issues, the Commentary considered these did not reduce the uncertainty in the incremental cost effectiveness ratio (ICER) value. Furthermore, the Commentary considered no updates </w:t>
      </w:r>
      <w:proofErr w:type="gramStart"/>
      <w:r>
        <w:t>could readily be made</w:t>
      </w:r>
      <w:proofErr w:type="gramEnd"/>
      <w:r>
        <w:t xml:space="preserve"> to improve our confidence in the estimated ICER value – the uncertainty rests largely on the poor-quality clinical data of which, informative results are limited to 12-month structural outcomes. Both the original and updated base case results </w:t>
      </w:r>
      <w:proofErr w:type="gramStart"/>
      <w:r>
        <w:t>should be interpreted</w:t>
      </w:r>
      <w:proofErr w:type="gramEnd"/>
      <w:r>
        <w:t xml:space="preserve"> with caution.</w:t>
      </w:r>
      <w:bookmarkStart w:id="15" w:name="_Ref38545850"/>
    </w:p>
    <w:p w14:paraId="158F2E4E" w14:textId="4316F789" w:rsidR="00B13F9D" w:rsidRPr="005522F7" w:rsidRDefault="00453EF2" w:rsidP="005522F7">
      <w:pPr>
        <w:spacing w:before="240"/>
        <w:rPr>
          <w:rFonts w:ascii="Arial Narrow" w:hAnsi="Arial Narrow"/>
          <w:b/>
          <w:sz w:val="20"/>
        </w:rPr>
      </w:pPr>
      <w:bookmarkStart w:id="16" w:name="_Ref50387156"/>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7</w:t>
      </w:r>
      <w:r w:rsidR="001647CA" w:rsidRPr="005522F7">
        <w:rPr>
          <w:rFonts w:ascii="Arial Narrow" w:hAnsi="Arial Narrow"/>
          <w:b/>
          <w:sz w:val="20"/>
        </w:rPr>
        <w:fldChar w:fldCharType="end"/>
      </w:r>
      <w:bookmarkEnd w:id="15"/>
      <w:bookmarkEnd w:id="16"/>
      <w:r w:rsidR="00B13F9D" w:rsidRPr="005522F7">
        <w:rPr>
          <w:rFonts w:ascii="Arial Narrow" w:hAnsi="Arial Narrow"/>
          <w:b/>
          <w:sz w:val="20"/>
        </w:rPr>
        <w:tab/>
        <w:t>Results of the stepped analysis</w:t>
      </w:r>
    </w:p>
    <w:tbl>
      <w:tblPr>
        <w:tblStyle w:val="TableGrid"/>
        <w:tblW w:w="5000" w:type="pct"/>
        <w:tblLook w:val="04A0" w:firstRow="1" w:lastRow="0" w:firstColumn="1" w:lastColumn="0" w:noHBand="0" w:noVBand="1"/>
        <w:tblCaption w:val="Table 7 Results of the stepped analysis"/>
      </w:tblPr>
      <w:tblGrid>
        <w:gridCol w:w="572"/>
        <w:gridCol w:w="1668"/>
        <w:gridCol w:w="973"/>
        <w:gridCol w:w="1275"/>
        <w:gridCol w:w="891"/>
        <w:gridCol w:w="946"/>
        <w:gridCol w:w="682"/>
        <w:gridCol w:w="2009"/>
      </w:tblGrid>
      <w:tr w:rsidR="00B13F9D" w14:paraId="4F284CFE" w14:textId="77777777" w:rsidTr="00B13F9D">
        <w:trPr>
          <w:tblHeader/>
        </w:trPr>
        <w:tc>
          <w:tcPr>
            <w:tcW w:w="307" w:type="pct"/>
            <w:tcBorders>
              <w:top w:val="single" w:sz="4" w:space="0" w:color="auto"/>
              <w:left w:val="single" w:sz="4" w:space="0" w:color="auto"/>
              <w:bottom w:val="single" w:sz="4" w:space="0" w:color="auto"/>
              <w:right w:val="single" w:sz="4" w:space="0" w:color="auto"/>
            </w:tcBorders>
            <w:hideMark/>
          </w:tcPr>
          <w:p w14:paraId="30F034DD" w14:textId="77777777" w:rsidR="00B13F9D" w:rsidRDefault="00B13F9D">
            <w:pPr>
              <w:pStyle w:val="Tabletext0"/>
              <w:rPr>
                <w:b/>
                <w:bCs/>
              </w:rPr>
            </w:pPr>
            <w:r>
              <w:rPr>
                <w:b/>
                <w:bCs/>
              </w:rPr>
              <w:t>Step</w:t>
            </w:r>
          </w:p>
        </w:tc>
        <w:tc>
          <w:tcPr>
            <w:tcW w:w="948" w:type="pct"/>
            <w:tcBorders>
              <w:top w:val="single" w:sz="4" w:space="0" w:color="auto"/>
              <w:left w:val="single" w:sz="4" w:space="0" w:color="auto"/>
              <w:bottom w:val="single" w:sz="4" w:space="0" w:color="auto"/>
              <w:right w:val="single" w:sz="4" w:space="0" w:color="auto"/>
            </w:tcBorders>
            <w:hideMark/>
          </w:tcPr>
          <w:p w14:paraId="0A28C38D" w14:textId="77777777" w:rsidR="00B13F9D" w:rsidRDefault="00B13F9D">
            <w:pPr>
              <w:pStyle w:val="Tabletext0"/>
              <w:rPr>
                <w:b/>
                <w:bCs/>
              </w:rPr>
            </w:pPr>
            <w:r>
              <w:rPr>
                <w:b/>
                <w:bCs/>
              </w:rPr>
              <w:t>Description</w:t>
            </w:r>
          </w:p>
        </w:tc>
        <w:tc>
          <w:tcPr>
            <w:tcW w:w="538" w:type="pct"/>
            <w:tcBorders>
              <w:top w:val="single" w:sz="4" w:space="0" w:color="auto"/>
              <w:left w:val="single" w:sz="4" w:space="0" w:color="auto"/>
              <w:bottom w:val="single" w:sz="4" w:space="0" w:color="auto"/>
              <w:right w:val="single" w:sz="4" w:space="0" w:color="auto"/>
            </w:tcBorders>
            <w:hideMark/>
          </w:tcPr>
          <w:p w14:paraId="58E2B3B7" w14:textId="77777777" w:rsidR="00B13F9D" w:rsidRDefault="00B13F9D">
            <w:pPr>
              <w:pStyle w:val="Tabletext0"/>
              <w:rPr>
                <w:b/>
                <w:bCs/>
              </w:rPr>
            </w:pPr>
            <w:r>
              <w:rPr>
                <w:b/>
                <w:bCs/>
              </w:rPr>
              <w:t>Costs included</w:t>
            </w:r>
          </w:p>
        </w:tc>
        <w:tc>
          <w:tcPr>
            <w:tcW w:w="729" w:type="pct"/>
            <w:tcBorders>
              <w:top w:val="single" w:sz="4" w:space="0" w:color="auto"/>
              <w:left w:val="single" w:sz="4" w:space="0" w:color="auto"/>
              <w:bottom w:val="single" w:sz="4" w:space="0" w:color="auto"/>
              <w:right w:val="single" w:sz="4" w:space="0" w:color="auto"/>
            </w:tcBorders>
            <w:hideMark/>
          </w:tcPr>
          <w:p w14:paraId="0C1555DD" w14:textId="77777777" w:rsidR="00B13F9D" w:rsidRDefault="00B13F9D">
            <w:pPr>
              <w:pStyle w:val="Tabletext0"/>
              <w:rPr>
                <w:b/>
                <w:bCs/>
              </w:rPr>
            </w:pPr>
            <w:r>
              <w:rPr>
                <w:b/>
                <w:bCs/>
              </w:rPr>
              <w:t>Effectiveness</w:t>
            </w:r>
          </w:p>
        </w:tc>
        <w:tc>
          <w:tcPr>
            <w:tcW w:w="478" w:type="pct"/>
            <w:tcBorders>
              <w:top w:val="single" w:sz="4" w:space="0" w:color="auto"/>
              <w:left w:val="single" w:sz="4" w:space="0" w:color="auto"/>
              <w:bottom w:val="single" w:sz="4" w:space="0" w:color="auto"/>
              <w:right w:val="single" w:sz="4" w:space="0" w:color="auto"/>
            </w:tcBorders>
            <w:hideMark/>
          </w:tcPr>
          <w:p w14:paraId="298BC5B8" w14:textId="77777777" w:rsidR="00B13F9D" w:rsidRDefault="00B13F9D">
            <w:pPr>
              <w:pStyle w:val="Tabletext0"/>
              <w:rPr>
                <w:b/>
                <w:bCs/>
              </w:rPr>
            </w:pPr>
            <w:r>
              <w:rPr>
                <w:b/>
                <w:bCs/>
              </w:rPr>
              <w:t>Duration</w:t>
            </w:r>
          </w:p>
        </w:tc>
        <w:tc>
          <w:tcPr>
            <w:tcW w:w="463" w:type="pct"/>
            <w:tcBorders>
              <w:top w:val="single" w:sz="4" w:space="0" w:color="auto"/>
              <w:left w:val="single" w:sz="4" w:space="0" w:color="auto"/>
              <w:bottom w:val="single" w:sz="4" w:space="0" w:color="auto"/>
              <w:right w:val="single" w:sz="4" w:space="0" w:color="auto"/>
            </w:tcBorders>
            <w:hideMark/>
          </w:tcPr>
          <w:p w14:paraId="722CF3CA" w14:textId="77777777" w:rsidR="00B13F9D" w:rsidRDefault="00B13F9D">
            <w:pPr>
              <w:pStyle w:val="Tabletext0"/>
              <w:rPr>
                <w:b/>
                <w:bCs/>
              </w:rPr>
            </w:pPr>
            <w:r>
              <w:rPr>
                <w:b/>
                <w:bCs/>
              </w:rPr>
              <w:t>Incr. cost</w:t>
            </w:r>
          </w:p>
        </w:tc>
        <w:tc>
          <w:tcPr>
            <w:tcW w:w="379" w:type="pct"/>
            <w:tcBorders>
              <w:top w:val="single" w:sz="4" w:space="0" w:color="auto"/>
              <w:left w:val="single" w:sz="4" w:space="0" w:color="auto"/>
              <w:bottom w:val="single" w:sz="4" w:space="0" w:color="auto"/>
              <w:right w:val="single" w:sz="4" w:space="0" w:color="auto"/>
            </w:tcBorders>
            <w:hideMark/>
          </w:tcPr>
          <w:p w14:paraId="41918551" w14:textId="77777777" w:rsidR="00B13F9D" w:rsidRDefault="00B13F9D">
            <w:pPr>
              <w:pStyle w:val="Tabletext0"/>
              <w:rPr>
                <w:b/>
                <w:bCs/>
              </w:rPr>
            </w:pPr>
            <w:r>
              <w:rPr>
                <w:b/>
                <w:bCs/>
              </w:rPr>
              <w:t>Incr. effect</w:t>
            </w:r>
          </w:p>
        </w:tc>
        <w:tc>
          <w:tcPr>
            <w:tcW w:w="1158" w:type="pct"/>
            <w:tcBorders>
              <w:top w:val="single" w:sz="4" w:space="0" w:color="auto"/>
              <w:left w:val="single" w:sz="4" w:space="0" w:color="auto"/>
              <w:bottom w:val="single" w:sz="4" w:space="0" w:color="auto"/>
              <w:right w:val="single" w:sz="4" w:space="0" w:color="auto"/>
            </w:tcBorders>
            <w:hideMark/>
          </w:tcPr>
          <w:p w14:paraId="06B454DD" w14:textId="77777777" w:rsidR="00B13F9D" w:rsidRDefault="00B13F9D">
            <w:pPr>
              <w:pStyle w:val="Tabletext0"/>
              <w:rPr>
                <w:b/>
                <w:bCs/>
              </w:rPr>
            </w:pPr>
            <w:r>
              <w:rPr>
                <w:b/>
                <w:bCs/>
              </w:rPr>
              <w:t>ICER</w:t>
            </w:r>
          </w:p>
        </w:tc>
      </w:tr>
      <w:tr w:rsidR="00B13F9D" w14:paraId="03E6E31A" w14:textId="77777777" w:rsidTr="00B13F9D">
        <w:tc>
          <w:tcPr>
            <w:tcW w:w="307" w:type="pct"/>
            <w:tcBorders>
              <w:top w:val="single" w:sz="4" w:space="0" w:color="auto"/>
              <w:left w:val="single" w:sz="4" w:space="0" w:color="auto"/>
              <w:bottom w:val="single" w:sz="4" w:space="0" w:color="auto"/>
              <w:right w:val="single" w:sz="4" w:space="0" w:color="auto"/>
            </w:tcBorders>
            <w:hideMark/>
          </w:tcPr>
          <w:p w14:paraId="581E9AA4" w14:textId="77777777" w:rsidR="00B13F9D" w:rsidRDefault="00B13F9D">
            <w:pPr>
              <w:pStyle w:val="Tabletext0"/>
            </w:pPr>
            <w:r>
              <w:t>1</w:t>
            </w:r>
          </w:p>
        </w:tc>
        <w:tc>
          <w:tcPr>
            <w:tcW w:w="948" w:type="pct"/>
            <w:tcBorders>
              <w:top w:val="single" w:sz="4" w:space="0" w:color="auto"/>
              <w:left w:val="single" w:sz="4" w:space="0" w:color="auto"/>
              <w:bottom w:val="single" w:sz="4" w:space="0" w:color="auto"/>
              <w:right w:val="single" w:sz="4" w:space="0" w:color="auto"/>
            </w:tcBorders>
            <w:hideMark/>
          </w:tcPr>
          <w:p w14:paraId="291F74C6" w14:textId="77777777" w:rsidR="00B13F9D" w:rsidRDefault="00B13F9D">
            <w:pPr>
              <w:pStyle w:val="Tabletext0"/>
            </w:pPr>
            <w:r>
              <w:t>Trial-based</w:t>
            </w:r>
          </w:p>
          <w:p w14:paraId="36CF98B0" w14:textId="77777777" w:rsidR="00B13F9D" w:rsidRDefault="00B13F9D">
            <w:pPr>
              <w:pStyle w:val="CommentTabletext"/>
              <w:rPr>
                <w:lang w:eastAsia="en-US"/>
              </w:rPr>
            </w:pPr>
            <w:r>
              <w:rPr>
                <w:lang w:eastAsia="en-US"/>
              </w:rPr>
              <w:t>Result of the CEA</w:t>
            </w:r>
          </w:p>
        </w:tc>
        <w:tc>
          <w:tcPr>
            <w:tcW w:w="538" w:type="pct"/>
            <w:tcBorders>
              <w:top w:val="single" w:sz="4" w:space="0" w:color="auto"/>
              <w:left w:val="single" w:sz="4" w:space="0" w:color="auto"/>
              <w:bottom w:val="single" w:sz="4" w:space="0" w:color="auto"/>
              <w:right w:val="single" w:sz="4" w:space="0" w:color="auto"/>
            </w:tcBorders>
            <w:hideMark/>
          </w:tcPr>
          <w:p w14:paraId="552159B9" w14:textId="77777777" w:rsidR="00B13F9D" w:rsidRDefault="00B13F9D">
            <w:pPr>
              <w:pStyle w:val="Tabletext0"/>
              <w:rPr>
                <w:lang w:eastAsia="en-US"/>
              </w:rPr>
            </w:pPr>
            <w:r>
              <w:t>Procedure only</w:t>
            </w:r>
          </w:p>
        </w:tc>
        <w:tc>
          <w:tcPr>
            <w:tcW w:w="729" w:type="pct"/>
            <w:tcBorders>
              <w:top w:val="single" w:sz="4" w:space="0" w:color="auto"/>
              <w:left w:val="single" w:sz="4" w:space="0" w:color="auto"/>
              <w:bottom w:val="single" w:sz="4" w:space="0" w:color="auto"/>
              <w:right w:val="single" w:sz="4" w:space="0" w:color="auto"/>
            </w:tcBorders>
            <w:hideMark/>
          </w:tcPr>
          <w:p w14:paraId="7B7BFA7A" w14:textId="77777777" w:rsidR="00B13F9D" w:rsidRDefault="00B13F9D">
            <w:pPr>
              <w:pStyle w:val="Tabletext0"/>
            </w:pPr>
            <w:r>
              <w:t>Proportion of patients with lesion fill &gt;70%</w:t>
            </w:r>
          </w:p>
        </w:tc>
        <w:tc>
          <w:tcPr>
            <w:tcW w:w="478" w:type="pct"/>
            <w:tcBorders>
              <w:top w:val="single" w:sz="4" w:space="0" w:color="auto"/>
              <w:left w:val="single" w:sz="4" w:space="0" w:color="auto"/>
              <w:bottom w:val="single" w:sz="4" w:space="0" w:color="auto"/>
              <w:right w:val="single" w:sz="4" w:space="0" w:color="auto"/>
            </w:tcBorders>
            <w:hideMark/>
          </w:tcPr>
          <w:p w14:paraId="5E450637" w14:textId="77777777" w:rsidR="00B13F9D" w:rsidRDefault="00B13F9D">
            <w:pPr>
              <w:pStyle w:val="Tabletext0"/>
            </w:pPr>
            <w:r>
              <w:t>1 year</w:t>
            </w:r>
          </w:p>
        </w:tc>
        <w:tc>
          <w:tcPr>
            <w:tcW w:w="463" w:type="pct"/>
            <w:tcBorders>
              <w:top w:val="single" w:sz="4" w:space="0" w:color="auto"/>
              <w:left w:val="single" w:sz="4" w:space="0" w:color="auto"/>
              <w:bottom w:val="single" w:sz="4" w:space="0" w:color="auto"/>
              <w:right w:val="single" w:sz="4" w:space="0" w:color="auto"/>
            </w:tcBorders>
            <w:hideMark/>
          </w:tcPr>
          <w:p w14:paraId="190C5B67" w14:textId="40B96EF0" w:rsidR="00B13F9D" w:rsidRPr="00146253" w:rsidRDefault="00B13F9D" w:rsidP="00016954">
            <w:pPr>
              <w:pStyle w:val="Tabletext0"/>
            </w:pPr>
            <w:r w:rsidRPr="00146253">
              <w:t>$</w:t>
            </w:r>
            <w:r w:rsidR="00016954" w:rsidRPr="00146253">
              <w:t>redacted</w:t>
            </w:r>
          </w:p>
        </w:tc>
        <w:tc>
          <w:tcPr>
            <w:tcW w:w="379" w:type="pct"/>
            <w:tcBorders>
              <w:top w:val="single" w:sz="4" w:space="0" w:color="auto"/>
              <w:left w:val="single" w:sz="4" w:space="0" w:color="auto"/>
              <w:bottom w:val="single" w:sz="4" w:space="0" w:color="auto"/>
              <w:right w:val="single" w:sz="4" w:space="0" w:color="auto"/>
            </w:tcBorders>
            <w:hideMark/>
          </w:tcPr>
          <w:p w14:paraId="0A1B35B8" w14:textId="77777777" w:rsidR="00B13F9D" w:rsidRPr="00146253" w:rsidRDefault="00B13F9D">
            <w:pPr>
              <w:pStyle w:val="Tabletext0"/>
            </w:pPr>
            <w:r w:rsidRPr="00146253">
              <w:t>16.5%</w:t>
            </w:r>
          </w:p>
        </w:tc>
        <w:tc>
          <w:tcPr>
            <w:tcW w:w="1158" w:type="pct"/>
            <w:tcBorders>
              <w:top w:val="single" w:sz="4" w:space="0" w:color="auto"/>
              <w:left w:val="single" w:sz="4" w:space="0" w:color="auto"/>
              <w:bottom w:val="single" w:sz="4" w:space="0" w:color="auto"/>
              <w:right w:val="single" w:sz="4" w:space="0" w:color="auto"/>
            </w:tcBorders>
            <w:hideMark/>
          </w:tcPr>
          <w:p w14:paraId="50E88944" w14:textId="2A4B6D41" w:rsidR="00B13F9D" w:rsidRPr="00146253" w:rsidRDefault="00B13F9D" w:rsidP="00016954">
            <w:pPr>
              <w:pStyle w:val="Tabletext0"/>
            </w:pPr>
            <w:r w:rsidRPr="00146253">
              <w:t>$</w:t>
            </w:r>
            <w:r w:rsidR="00016954" w:rsidRPr="00146253">
              <w:t>redacted</w:t>
            </w:r>
            <w:r w:rsidRPr="00146253">
              <w:t xml:space="preserve"> per additional patient with lesion fill response</w:t>
            </w:r>
          </w:p>
        </w:tc>
      </w:tr>
      <w:tr w:rsidR="00B13F9D" w14:paraId="365CABA1" w14:textId="77777777" w:rsidTr="00B13F9D">
        <w:tc>
          <w:tcPr>
            <w:tcW w:w="307" w:type="pct"/>
            <w:tcBorders>
              <w:top w:val="single" w:sz="4" w:space="0" w:color="auto"/>
              <w:left w:val="single" w:sz="4" w:space="0" w:color="auto"/>
              <w:bottom w:val="single" w:sz="4" w:space="0" w:color="auto"/>
              <w:right w:val="single" w:sz="4" w:space="0" w:color="auto"/>
            </w:tcBorders>
            <w:hideMark/>
          </w:tcPr>
          <w:p w14:paraId="4BA3176A" w14:textId="77777777" w:rsidR="00B13F9D" w:rsidRDefault="00B13F9D">
            <w:pPr>
              <w:pStyle w:val="Tabletext0"/>
            </w:pPr>
            <w:r>
              <w:t>2</w:t>
            </w:r>
          </w:p>
        </w:tc>
        <w:tc>
          <w:tcPr>
            <w:tcW w:w="948" w:type="pct"/>
            <w:tcBorders>
              <w:top w:val="single" w:sz="4" w:space="0" w:color="auto"/>
              <w:left w:val="single" w:sz="4" w:space="0" w:color="auto"/>
              <w:bottom w:val="single" w:sz="4" w:space="0" w:color="auto"/>
              <w:right w:val="single" w:sz="4" w:space="0" w:color="auto"/>
            </w:tcBorders>
            <w:hideMark/>
          </w:tcPr>
          <w:p w14:paraId="4AC61579" w14:textId="77777777" w:rsidR="00B13F9D" w:rsidRDefault="00B13F9D">
            <w:pPr>
              <w:pStyle w:val="Tabletext0"/>
            </w:pPr>
            <w:r>
              <w:t>Trial-based with application of correlation coefficient</w:t>
            </w:r>
          </w:p>
        </w:tc>
        <w:tc>
          <w:tcPr>
            <w:tcW w:w="538" w:type="pct"/>
            <w:tcBorders>
              <w:top w:val="single" w:sz="4" w:space="0" w:color="auto"/>
              <w:left w:val="single" w:sz="4" w:space="0" w:color="auto"/>
              <w:bottom w:val="single" w:sz="4" w:space="0" w:color="auto"/>
              <w:right w:val="single" w:sz="4" w:space="0" w:color="auto"/>
            </w:tcBorders>
            <w:hideMark/>
          </w:tcPr>
          <w:p w14:paraId="2C32A63D" w14:textId="77777777" w:rsidR="00B13F9D" w:rsidRDefault="00B13F9D">
            <w:pPr>
              <w:pStyle w:val="Tabletext0"/>
            </w:pPr>
            <w:r>
              <w:t>Procedure only</w:t>
            </w:r>
          </w:p>
        </w:tc>
        <w:tc>
          <w:tcPr>
            <w:tcW w:w="729" w:type="pct"/>
            <w:tcBorders>
              <w:top w:val="single" w:sz="4" w:space="0" w:color="auto"/>
              <w:left w:val="single" w:sz="4" w:space="0" w:color="auto"/>
              <w:bottom w:val="single" w:sz="4" w:space="0" w:color="auto"/>
              <w:right w:val="single" w:sz="4" w:space="0" w:color="auto"/>
            </w:tcBorders>
            <w:hideMark/>
          </w:tcPr>
          <w:p w14:paraId="2E203F7D" w14:textId="77777777" w:rsidR="00B13F9D" w:rsidRDefault="00B13F9D">
            <w:pPr>
              <w:pStyle w:val="Tabletext0"/>
              <w:rPr>
                <w:i/>
                <w:vertAlign w:val="superscript"/>
              </w:rPr>
            </w:pPr>
            <w:r>
              <w:t xml:space="preserve">Proportion of patients with clinical </w:t>
            </w:r>
            <w:proofErr w:type="spellStart"/>
            <w:r>
              <w:t>success</w:t>
            </w:r>
            <w:r>
              <w:rPr>
                <w:i/>
                <w:vertAlign w:val="superscript"/>
              </w:rPr>
              <w:t>a</w:t>
            </w:r>
            <w:proofErr w:type="spellEnd"/>
          </w:p>
        </w:tc>
        <w:tc>
          <w:tcPr>
            <w:tcW w:w="478" w:type="pct"/>
            <w:tcBorders>
              <w:top w:val="single" w:sz="4" w:space="0" w:color="auto"/>
              <w:left w:val="single" w:sz="4" w:space="0" w:color="auto"/>
              <w:bottom w:val="single" w:sz="4" w:space="0" w:color="auto"/>
              <w:right w:val="single" w:sz="4" w:space="0" w:color="auto"/>
            </w:tcBorders>
            <w:hideMark/>
          </w:tcPr>
          <w:p w14:paraId="26306345" w14:textId="77777777" w:rsidR="00B13F9D" w:rsidRDefault="00B13F9D">
            <w:pPr>
              <w:pStyle w:val="Tabletext0"/>
            </w:pPr>
            <w:r>
              <w:t>1 year</w:t>
            </w:r>
          </w:p>
        </w:tc>
        <w:tc>
          <w:tcPr>
            <w:tcW w:w="463" w:type="pct"/>
            <w:tcBorders>
              <w:top w:val="single" w:sz="4" w:space="0" w:color="auto"/>
              <w:left w:val="single" w:sz="4" w:space="0" w:color="auto"/>
              <w:bottom w:val="single" w:sz="4" w:space="0" w:color="auto"/>
              <w:right w:val="single" w:sz="4" w:space="0" w:color="auto"/>
            </w:tcBorders>
            <w:hideMark/>
          </w:tcPr>
          <w:p w14:paraId="295D2523" w14:textId="7EE379E0" w:rsidR="00B13F9D" w:rsidRPr="00146253" w:rsidRDefault="00B13F9D">
            <w:pPr>
              <w:pStyle w:val="Tabletext0"/>
            </w:pPr>
            <w:r w:rsidRPr="00146253">
              <w:t>$</w:t>
            </w:r>
            <w:r w:rsidR="00016954" w:rsidRPr="00146253">
              <w:t>redacted</w:t>
            </w:r>
          </w:p>
        </w:tc>
        <w:tc>
          <w:tcPr>
            <w:tcW w:w="379" w:type="pct"/>
            <w:tcBorders>
              <w:top w:val="single" w:sz="4" w:space="0" w:color="auto"/>
              <w:left w:val="single" w:sz="4" w:space="0" w:color="auto"/>
              <w:bottom w:val="single" w:sz="4" w:space="0" w:color="auto"/>
              <w:right w:val="single" w:sz="4" w:space="0" w:color="auto"/>
            </w:tcBorders>
            <w:hideMark/>
          </w:tcPr>
          <w:p w14:paraId="756665BC" w14:textId="77777777" w:rsidR="00B13F9D" w:rsidRPr="00146253" w:rsidRDefault="00B13F9D">
            <w:pPr>
              <w:pStyle w:val="Tabletext0"/>
            </w:pPr>
            <w:r w:rsidRPr="00146253">
              <w:t>11.4%</w:t>
            </w:r>
          </w:p>
        </w:tc>
        <w:tc>
          <w:tcPr>
            <w:tcW w:w="1158" w:type="pct"/>
            <w:tcBorders>
              <w:top w:val="single" w:sz="4" w:space="0" w:color="auto"/>
              <w:left w:val="single" w:sz="4" w:space="0" w:color="auto"/>
              <w:bottom w:val="single" w:sz="4" w:space="0" w:color="auto"/>
              <w:right w:val="single" w:sz="4" w:space="0" w:color="auto"/>
            </w:tcBorders>
            <w:hideMark/>
          </w:tcPr>
          <w:p w14:paraId="7459DC13" w14:textId="58186A45" w:rsidR="00B13F9D" w:rsidRPr="00146253" w:rsidRDefault="00B13F9D">
            <w:pPr>
              <w:pStyle w:val="Tabletext0"/>
            </w:pPr>
            <w:r w:rsidRPr="00146253">
              <w:t>$</w:t>
            </w:r>
            <w:r w:rsidR="00016954" w:rsidRPr="00146253">
              <w:t>redacted</w:t>
            </w:r>
            <w:r w:rsidR="00016954" w:rsidRPr="00146253" w:rsidDel="00016954">
              <w:t xml:space="preserve"> </w:t>
            </w:r>
            <w:r w:rsidRPr="00146253">
              <w:t>per additional patient with successful clinical outcome</w:t>
            </w:r>
          </w:p>
        </w:tc>
      </w:tr>
      <w:tr w:rsidR="00B13F9D" w14:paraId="08208D92" w14:textId="77777777" w:rsidTr="00B13F9D">
        <w:tc>
          <w:tcPr>
            <w:tcW w:w="307" w:type="pct"/>
            <w:tcBorders>
              <w:top w:val="single" w:sz="4" w:space="0" w:color="auto"/>
              <w:left w:val="single" w:sz="4" w:space="0" w:color="auto"/>
              <w:bottom w:val="single" w:sz="4" w:space="0" w:color="auto"/>
              <w:right w:val="single" w:sz="4" w:space="0" w:color="auto"/>
            </w:tcBorders>
            <w:hideMark/>
          </w:tcPr>
          <w:p w14:paraId="1C311A87" w14:textId="77777777" w:rsidR="00B13F9D" w:rsidRDefault="00B13F9D">
            <w:pPr>
              <w:pStyle w:val="Tabletext0"/>
            </w:pPr>
            <w:r>
              <w:t>3</w:t>
            </w:r>
          </w:p>
        </w:tc>
        <w:tc>
          <w:tcPr>
            <w:tcW w:w="948" w:type="pct"/>
            <w:tcBorders>
              <w:top w:val="single" w:sz="4" w:space="0" w:color="auto"/>
              <w:left w:val="single" w:sz="4" w:space="0" w:color="auto"/>
              <w:bottom w:val="nil"/>
              <w:right w:val="single" w:sz="4" w:space="0" w:color="auto"/>
            </w:tcBorders>
            <w:hideMark/>
          </w:tcPr>
          <w:p w14:paraId="22D37B1F" w14:textId="77777777" w:rsidR="00B13F9D" w:rsidRDefault="00B13F9D">
            <w:pPr>
              <w:pStyle w:val="Tabletext0"/>
            </w:pPr>
            <w:r>
              <w:t>Extrapolation of costs and outcomes</w:t>
            </w:r>
          </w:p>
        </w:tc>
        <w:tc>
          <w:tcPr>
            <w:tcW w:w="538" w:type="pct"/>
            <w:tcBorders>
              <w:top w:val="single" w:sz="4" w:space="0" w:color="auto"/>
              <w:left w:val="single" w:sz="4" w:space="0" w:color="auto"/>
              <w:bottom w:val="nil"/>
              <w:right w:val="single" w:sz="4" w:space="0" w:color="auto"/>
            </w:tcBorders>
            <w:hideMark/>
          </w:tcPr>
          <w:p w14:paraId="26271214" w14:textId="77777777" w:rsidR="00B13F9D" w:rsidRDefault="00B13F9D">
            <w:pPr>
              <w:pStyle w:val="Tabletext0"/>
            </w:pPr>
            <w:r>
              <w:t>Procedure and health states</w:t>
            </w:r>
          </w:p>
        </w:tc>
        <w:tc>
          <w:tcPr>
            <w:tcW w:w="729" w:type="pct"/>
            <w:tcBorders>
              <w:top w:val="single" w:sz="4" w:space="0" w:color="auto"/>
              <w:left w:val="single" w:sz="4" w:space="0" w:color="auto"/>
              <w:bottom w:val="nil"/>
              <w:right w:val="single" w:sz="4" w:space="0" w:color="auto"/>
            </w:tcBorders>
            <w:hideMark/>
          </w:tcPr>
          <w:p w14:paraId="43ED5D7C" w14:textId="77777777" w:rsidR="00B13F9D" w:rsidRDefault="00B13F9D">
            <w:pPr>
              <w:pStyle w:val="Tabletext0"/>
            </w:pPr>
            <w:r>
              <w:t xml:space="preserve">QALYs </w:t>
            </w:r>
            <w:r>
              <w:rPr>
                <w:i/>
              </w:rPr>
              <w:t>(derived from literature review)</w:t>
            </w:r>
          </w:p>
        </w:tc>
        <w:tc>
          <w:tcPr>
            <w:tcW w:w="478" w:type="pct"/>
            <w:tcBorders>
              <w:top w:val="single" w:sz="4" w:space="0" w:color="auto"/>
              <w:left w:val="single" w:sz="4" w:space="0" w:color="auto"/>
              <w:bottom w:val="single" w:sz="4" w:space="0" w:color="auto"/>
              <w:right w:val="single" w:sz="4" w:space="0" w:color="auto"/>
            </w:tcBorders>
            <w:hideMark/>
          </w:tcPr>
          <w:p w14:paraId="04283E2F" w14:textId="77777777" w:rsidR="00B13F9D" w:rsidRDefault="00B13F9D">
            <w:pPr>
              <w:pStyle w:val="Tabletext0"/>
            </w:pPr>
            <w:r>
              <w:t>5 years</w:t>
            </w:r>
          </w:p>
        </w:tc>
        <w:tc>
          <w:tcPr>
            <w:tcW w:w="463" w:type="pct"/>
            <w:tcBorders>
              <w:top w:val="single" w:sz="4" w:space="0" w:color="auto"/>
              <w:left w:val="single" w:sz="4" w:space="0" w:color="auto"/>
              <w:bottom w:val="single" w:sz="4" w:space="0" w:color="auto"/>
              <w:right w:val="single" w:sz="4" w:space="0" w:color="auto"/>
            </w:tcBorders>
            <w:hideMark/>
          </w:tcPr>
          <w:p w14:paraId="16E64647" w14:textId="77777777" w:rsidR="00B13F9D" w:rsidRDefault="00B13F9D">
            <w:pPr>
              <w:pStyle w:val="Tabletext0"/>
            </w:pPr>
            <w:r>
              <w:t>$5,762</w:t>
            </w:r>
          </w:p>
          <w:p w14:paraId="1B22C3EC" w14:textId="77777777" w:rsidR="00B13F9D" w:rsidRDefault="00B13F9D">
            <w:pPr>
              <w:pStyle w:val="CommentTabletext"/>
              <w:rPr>
                <w:lang w:eastAsia="en-US"/>
              </w:rPr>
            </w:pPr>
            <w:r>
              <w:rPr>
                <w:lang w:eastAsia="en-US"/>
              </w:rPr>
              <w:t>$5,843</w:t>
            </w:r>
          </w:p>
        </w:tc>
        <w:tc>
          <w:tcPr>
            <w:tcW w:w="379" w:type="pct"/>
            <w:tcBorders>
              <w:top w:val="single" w:sz="4" w:space="0" w:color="auto"/>
              <w:left w:val="single" w:sz="4" w:space="0" w:color="auto"/>
              <w:bottom w:val="single" w:sz="4" w:space="0" w:color="auto"/>
              <w:right w:val="single" w:sz="4" w:space="0" w:color="auto"/>
            </w:tcBorders>
            <w:hideMark/>
          </w:tcPr>
          <w:p w14:paraId="1FC2FC12" w14:textId="77777777" w:rsidR="00B13F9D" w:rsidRDefault="00B13F9D">
            <w:pPr>
              <w:pStyle w:val="Tabletext0"/>
              <w:rPr>
                <w:lang w:eastAsia="en-US"/>
              </w:rPr>
            </w:pPr>
            <w:r>
              <w:t>0.053</w:t>
            </w:r>
          </w:p>
          <w:p w14:paraId="164CEF05" w14:textId="77777777" w:rsidR="00B13F9D" w:rsidRDefault="00B13F9D">
            <w:pPr>
              <w:pStyle w:val="Tabletext0"/>
              <w:rPr>
                <w:i/>
                <w:iCs/>
              </w:rPr>
            </w:pPr>
            <w:r>
              <w:rPr>
                <w:i/>
                <w:iCs/>
                <w:color w:val="C00000"/>
              </w:rPr>
              <w:t>0.054</w:t>
            </w:r>
          </w:p>
        </w:tc>
        <w:tc>
          <w:tcPr>
            <w:tcW w:w="1158" w:type="pct"/>
            <w:tcBorders>
              <w:top w:val="single" w:sz="4" w:space="0" w:color="auto"/>
              <w:left w:val="single" w:sz="4" w:space="0" w:color="auto"/>
              <w:bottom w:val="single" w:sz="4" w:space="0" w:color="auto"/>
              <w:right w:val="single" w:sz="4" w:space="0" w:color="auto"/>
            </w:tcBorders>
            <w:hideMark/>
          </w:tcPr>
          <w:p w14:paraId="207A5A4D" w14:textId="77777777" w:rsidR="00B13F9D" w:rsidRDefault="00B13F9D">
            <w:pPr>
              <w:pStyle w:val="Tabletext0"/>
            </w:pPr>
            <w:r>
              <w:t>$108,236 per QALY gained</w:t>
            </w:r>
          </w:p>
          <w:p w14:paraId="10E6FA64" w14:textId="77777777" w:rsidR="00B13F9D" w:rsidRDefault="00B13F9D">
            <w:pPr>
              <w:pStyle w:val="Tabletext0"/>
            </w:pPr>
            <w:r>
              <w:rPr>
                <w:i/>
                <w:iCs/>
                <w:color w:val="C00000"/>
              </w:rPr>
              <w:t>$109,017 per QALY gained</w:t>
            </w:r>
          </w:p>
        </w:tc>
      </w:tr>
      <w:tr w:rsidR="00B13F9D" w14:paraId="27D03263" w14:textId="77777777" w:rsidTr="00B13F9D">
        <w:trPr>
          <w:trHeight w:val="43"/>
        </w:trPr>
        <w:tc>
          <w:tcPr>
            <w:tcW w:w="307" w:type="pct"/>
            <w:tcBorders>
              <w:top w:val="single" w:sz="4" w:space="0" w:color="auto"/>
              <w:left w:val="single" w:sz="4" w:space="0" w:color="auto"/>
              <w:bottom w:val="single" w:sz="4" w:space="0" w:color="auto"/>
              <w:right w:val="single" w:sz="4" w:space="0" w:color="auto"/>
            </w:tcBorders>
            <w:hideMark/>
          </w:tcPr>
          <w:p w14:paraId="63E3D934" w14:textId="77777777" w:rsidR="00B13F9D" w:rsidRDefault="00B13F9D">
            <w:pPr>
              <w:pStyle w:val="Tabletext0"/>
            </w:pPr>
            <w:r>
              <w:t>4</w:t>
            </w:r>
          </w:p>
        </w:tc>
        <w:tc>
          <w:tcPr>
            <w:tcW w:w="948" w:type="pct"/>
            <w:tcBorders>
              <w:top w:val="nil"/>
              <w:left w:val="single" w:sz="4" w:space="0" w:color="auto"/>
              <w:bottom w:val="nil"/>
              <w:right w:val="single" w:sz="4" w:space="0" w:color="auto"/>
            </w:tcBorders>
          </w:tcPr>
          <w:p w14:paraId="37107E73" w14:textId="77777777" w:rsidR="00B13F9D" w:rsidRDefault="00B13F9D">
            <w:pPr>
              <w:pStyle w:val="Tabletext0"/>
            </w:pPr>
          </w:p>
        </w:tc>
        <w:tc>
          <w:tcPr>
            <w:tcW w:w="538" w:type="pct"/>
            <w:tcBorders>
              <w:top w:val="nil"/>
              <w:left w:val="single" w:sz="4" w:space="0" w:color="auto"/>
              <w:bottom w:val="nil"/>
              <w:right w:val="single" w:sz="4" w:space="0" w:color="auto"/>
            </w:tcBorders>
          </w:tcPr>
          <w:p w14:paraId="0ECFE476" w14:textId="77777777" w:rsidR="00B13F9D" w:rsidRDefault="00B13F9D">
            <w:pPr>
              <w:pStyle w:val="Tabletext0"/>
            </w:pPr>
          </w:p>
        </w:tc>
        <w:tc>
          <w:tcPr>
            <w:tcW w:w="729" w:type="pct"/>
            <w:tcBorders>
              <w:top w:val="nil"/>
              <w:left w:val="single" w:sz="4" w:space="0" w:color="auto"/>
              <w:bottom w:val="nil"/>
              <w:right w:val="single" w:sz="4" w:space="0" w:color="auto"/>
            </w:tcBorders>
          </w:tcPr>
          <w:p w14:paraId="587C3ECF" w14:textId="77777777" w:rsidR="00B13F9D" w:rsidRDefault="00B13F9D">
            <w:pPr>
              <w:pStyle w:val="Tabletext0"/>
            </w:pPr>
          </w:p>
        </w:tc>
        <w:tc>
          <w:tcPr>
            <w:tcW w:w="478" w:type="pct"/>
            <w:tcBorders>
              <w:top w:val="single" w:sz="4" w:space="0" w:color="auto"/>
              <w:left w:val="single" w:sz="4" w:space="0" w:color="auto"/>
              <w:bottom w:val="single" w:sz="4" w:space="0" w:color="auto"/>
              <w:right w:val="single" w:sz="4" w:space="0" w:color="auto"/>
            </w:tcBorders>
            <w:hideMark/>
          </w:tcPr>
          <w:p w14:paraId="31827107" w14:textId="77777777" w:rsidR="00B13F9D" w:rsidRDefault="00B13F9D">
            <w:pPr>
              <w:pStyle w:val="Tabletext0"/>
            </w:pPr>
            <w:r>
              <w:t>10 years</w:t>
            </w:r>
          </w:p>
        </w:tc>
        <w:tc>
          <w:tcPr>
            <w:tcW w:w="463" w:type="pct"/>
            <w:tcBorders>
              <w:top w:val="single" w:sz="4" w:space="0" w:color="auto"/>
              <w:left w:val="single" w:sz="4" w:space="0" w:color="auto"/>
              <w:bottom w:val="single" w:sz="4" w:space="0" w:color="auto"/>
              <w:right w:val="single" w:sz="4" w:space="0" w:color="auto"/>
            </w:tcBorders>
            <w:hideMark/>
          </w:tcPr>
          <w:p w14:paraId="7436ED9C" w14:textId="77777777" w:rsidR="00B13F9D" w:rsidRDefault="00B13F9D">
            <w:pPr>
              <w:pStyle w:val="Tabletext0"/>
            </w:pPr>
            <w:r>
              <w:t>$5,352</w:t>
            </w:r>
          </w:p>
          <w:p w14:paraId="7A46723A" w14:textId="77777777" w:rsidR="00B13F9D" w:rsidRDefault="00B13F9D">
            <w:pPr>
              <w:pStyle w:val="Tabletext0"/>
              <w:rPr>
                <w:i/>
                <w:iCs/>
              </w:rPr>
            </w:pPr>
            <w:r>
              <w:rPr>
                <w:i/>
                <w:iCs/>
                <w:color w:val="C00000"/>
              </w:rPr>
              <w:t>$5,650</w:t>
            </w:r>
          </w:p>
        </w:tc>
        <w:tc>
          <w:tcPr>
            <w:tcW w:w="379" w:type="pct"/>
            <w:tcBorders>
              <w:top w:val="single" w:sz="4" w:space="0" w:color="auto"/>
              <w:left w:val="single" w:sz="4" w:space="0" w:color="auto"/>
              <w:bottom w:val="single" w:sz="4" w:space="0" w:color="auto"/>
              <w:right w:val="single" w:sz="4" w:space="0" w:color="auto"/>
            </w:tcBorders>
            <w:hideMark/>
          </w:tcPr>
          <w:p w14:paraId="7B99254F" w14:textId="77777777" w:rsidR="00B13F9D" w:rsidRDefault="00B13F9D">
            <w:pPr>
              <w:pStyle w:val="Tabletext0"/>
            </w:pPr>
            <w:r>
              <w:t>0.099</w:t>
            </w:r>
          </w:p>
          <w:p w14:paraId="3D394CD9" w14:textId="77777777" w:rsidR="00B13F9D" w:rsidRDefault="00B13F9D">
            <w:pPr>
              <w:pStyle w:val="Tabletext0"/>
              <w:rPr>
                <w:i/>
                <w:iCs/>
              </w:rPr>
            </w:pPr>
            <w:r>
              <w:rPr>
                <w:i/>
                <w:iCs/>
                <w:color w:val="C00000"/>
              </w:rPr>
              <w:t>0.10</w:t>
            </w:r>
          </w:p>
        </w:tc>
        <w:tc>
          <w:tcPr>
            <w:tcW w:w="1158" w:type="pct"/>
            <w:tcBorders>
              <w:top w:val="single" w:sz="4" w:space="0" w:color="auto"/>
              <w:left w:val="single" w:sz="4" w:space="0" w:color="auto"/>
              <w:bottom w:val="single" w:sz="4" w:space="0" w:color="auto"/>
              <w:right w:val="single" w:sz="4" w:space="0" w:color="auto"/>
            </w:tcBorders>
            <w:hideMark/>
          </w:tcPr>
          <w:p w14:paraId="5A45F221" w14:textId="77777777" w:rsidR="00B13F9D" w:rsidRDefault="00B13F9D">
            <w:pPr>
              <w:pStyle w:val="Tabletext0"/>
            </w:pPr>
            <w:r>
              <w:t>$53,829 per QALY gained</w:t>
            </w:r>
          </w:p>
          <w:p w14:paraId="4866B8E6" w14:textId="77777777" w:rsidR="00B13F9D" w:rsidRDefault="00B13F9D">
            <w:pPr>
              <w:pStyle w:val="Tabletext0"/>
            </w:pPr>
            <w:r>
              <w:rPr>
                <w:i/>
                <w:iCs/>
                <w:color w:val="C00000"/>
              </w:rPr>
              <w:t>$56,135 per QALY gained</w:t>
            </w:r>
          </w:p>
        </w:tc>
      </w:tr>
      <w:tr w:rsidR="00B13F9D" w14:paraId="531905E9" w14:textId="77777777" w:rsidTr="00B13F9D">
        <w:tc>
          <w:tcPr>
            <w:tcW w:w="307" w:type="pct"/>
            <w:tcBorders>
              <w:top w:val="single" w:sz="4" w:space="0" w:color="auto"/>
              <w:left w:val="single" w:sz="4" w:space="0" w:color="auto"/>
              <w:bottom w:val="single" w:sz="4" w:space="0" w:color="auto"/>
              <w:right w:val="single" w:sz="4" w:space="0" w:color="auto"/>
            </w:tcBorders>
            <w:hideMark/>
          </w:tcPr>
          <w:p w14:paraId="7929C9D7" w14:textId="77777777" w:rsidR="00B13F9D" w:rsidRDefault="00B13F9D">
            <w:pPr>
              <w:pStyle w:val="Tabletext0"/>
            </w:pPr>
            <w:r>
              <w:t>5</w:t>
            </w:r>
          </w:p>
        </w:tc>
        <w:tc>
          <w:tcPr>
            <w:tcW w:w="948" w:type="pct"/>
            <w:tcBorders>
              <w:top w:val="nil"/>
              <w:left w:val="single" w:sz="4" w:space="0" w:color="auto"/>
              <w:bottom w:val="single" w:sz="4" w:space="0" w:color="auto"/>
              <w:right w:val="single" w:sz="4" w:space="0" w:color="auto"/>
            </w:tcBorders>
            <w:hideMark/>
          </w:tcPr>
          <w:p w14:paraId="5331410E" w14:textId="77777777" w:rsidR="00B13F9D" w:rsidRDefault="00B13F9D">
            <w:pPr>
              <w:pStyle w:val="CommentTabletext"/>
              <w:rPr>
                <w:lang w:eastAsia="en-US"/>
              </w:rPr>
            </w:pPr>
            <w:r>
              <w:rPr>
                <w:lang w:eastAsia="en-US"/>
              </w:rPr>
              <w:t>Result of the base case CUA</w:t>
            </w:r>
          </w:p>
        </w:tc>
        <w:tc>
          <w:tcPr>
            <w:tcW w:w="538" w:type="pct"/>
            <w:tcBorders>
              <w:top w:val="nil"/>
              <w:left w:val="single" w:sz="4" w:space="0" w:color="auto"/>
              <w:bottom w:val="single" w:sz="4" w:space="0" w:color="auto"/>
              <w:right w:val="single" w:sz="4" w:space="0" w:color="auto"/>
            </w:tcBorders>
          </w:tcPr>
          <w:p w14:paraId="23998AFB" w14:textId="77777777" w:rsidR="00B13F9D" w:rsidRDefault="00B13F9D">
            <w:pPr>
              <w:pStyle w:val="Tabletext0"/>
              <w:rPr>
                <w:lang w:eastAsia="en-US"/>
              </w:rPr>
            </w:pPr>
          </w:p>
        </w:tc>
        <w:tc>
          <w:tcPr>
            <w:tcW w:w="729" w:type="pct"/>
            <w:tcBorders>
              <w:top w:val="nil"/>
              <w:left w:val="single" w:sz="4" w:space="0" w:color="auto"/>
              <w:bottom w:val="single" w:sz="4" w:space="0" w:color="auto"/>
              <w:right w:val="single" w:sz="4" w:space="0" w:color="auto"/>
            </w:tcBorders>
          </w:tcPr>
          <w:p w14:paraId="5475914E" w14:textId="77777777" w:rsidR="00B13F9D" w:rsidRDefault="00B13F9D">
            <w:pPr>
              <w:pStyle w:val="Tabletext0"/>
            </w:pPr>
          </w:p>
        </w:tc>
        <w:tc>
          <w:tcPr>
            <w:tcW w:w="478" w:type="pct"/>
            <w:tcBorders>
              <w:top w:val="single" w:sz="4" w:space="0" w:color="auto"/>
              <w:left w:val="single" w:sz="4" w:space="0" w:color="auto"/>
              <w:bottom w:val="single" w:sz="4" w:space="0" w:color="auto"/>
              <w:right w:val="single" w:sz="4" w:space="0" w:color="auto"/>
            </w:tcBorders>
            <w:hideMark/>
          </w:tcPr>
          <w:p w14:paraId="3D543A2C" w14:textId="77777777" w:rsidR="00B13F9D" w:rsidRDefault="00B13F9D">
            <w:pPr>
              <w:pStyle w:val="Tabletext0"/>
            </w:pPr>
            <w:r>
              <w:t>20 years</w:t>
            </w:r>
          </w:p>
        </w:tc>
        <w:tc>
          <w:tcPr>
            <w:tcW w:w="463" w:type="pct"/>
            <w:tcBorders>
              <w:top w:val="single" w:sz="4" w:space="0" w:color="auto"/>
              <w:left w:val="single" w:sz="4" w:space="0" w:color="auto"/>
              <w:bottom w:val="single" w:sz="4" w:space="0" w:color="auto"/>
              <w:right w:val="single" w:sz="4" w:space="0" w:color="auto"/>
            </w:tcBorders>
            <w:hideMark/>
          </w:tcPr>
          <w:p w14:paraId="634885D8" w14:textId="77777777" w:rsidR="00B13F9D" w:rsidRDefault="00B13F9D">
            <w:pPr>
              <w:pStyle w:val="Tabletext0"/>
            </w:pPr>
            <w:r>
              <w:t>$4,369</w:t>
            </w:r>
          </w:p>
          <w:p w14:paraId="7043A3D4" w14:textId="77777777" w:rsidR="00B13F9D" w:rsidRDefault="00B13F9D">
            <w:pPr>
              <w:pStyle w:val="Tabletext0"/>
              <w:rPr>
                <w:i/>
                <w:iCs/>
              </w:rPr>
            </w:pPr>
            <w:r>
              <w:rPr>
                <w:i/>
                <w:iCs/>
                <w:color w:val="C00000"/>
              </w:rPr>
              <w:t>$5,385</w:t>
            </w:r>
          </w:p>
        </w:tc>
        <w:tc>
          <w:tcPr>
            <w:tcW w:w="379" w:type="pct"/>
            <w:tcBorders>
              <w:top w:val="single" w:sz="4" w:space="0" w:color="auto"/>
              <w:left w:val="single" w:sz="4" w:space="0" w:color="auto"/>
              <w:bottom w:val="single" w:sz="4" w:space="0" w:color="auto"/>
              <w:right w:val="single" w:sz="4" w:space="0" w:color="auto"/>
            </w:tcBorders>
            <w:hideMark/>
          </w:tcPr>
          <w:p w14:paraId="6DF0FF96" w14:textId="77777777" w:rsidR="00B13F9D" w:rsidRDefault="00B13F9D">
            <w:pPr>
              <w:pStyle w:val="Tabletext0"/>
            </w:pPr>
            <w:r>
              <w:t>0.162</w:t>
            </w:r>
          </w:p>
          <w:p w14:paraId="518A1C32" w14:textId="77777777" w:rsidR="00B13F9D" w:rsidRDefault="00B13F9D">
            <w:pPr>
              <w:pStyle w:val="Tabletext0"/>
              <w:rPr>
                <w:i/>
                <w:iCs/>
              </w:rPr>
            </w:pPr>
            <w:r>
              <w:rPr>
                <w:i/>
                <w:iCs/>
                <w:color w:val="C00000"/>
              </w:rPr>
              <w:t>0.166</w:t>
            </w:r>
          </w:p>
        </w:tc>
        <w:tc>
          <w:tcPr>
            <w:tcW w:w="1158" w:type="pct"/>
            <w:tcBorders>
              <w:top w:val="single" w:sz="4" w:space="0" w:color="auto"/>
              <w:left w:val="single" w:sz="4" w:space="0" w:color="auto"/>
              <w:bottom w:val="single" w:sz="4" w:space="0" w:color="auto"/>
              <w:right w:val="single" w:sz="4" w:space="0" w:color="auto"/>
            </w:tcBorders>
            <w:hideMark/>
          </w:tcPr>
          <w:p w14:paraId="3A6889FF" w14:textId="77777777" w:rsidR="00B13F9D" w:rsidRDefault="00B13F9D">
            <w:pPr>
              <w:pStyle w:val="Tabletext0"/>
            </w:pPr>
            <w:r>
              <w:t>$26,981 per QALY gained</w:t>
            </w:r>
          </w:p>
          <w:p w14:paraId="5782E1B0" w14:textId="77777777" w:rsidR="00B13F9D" w:rsidRDefault="00B13F9D">
            <w:pPr>
              <w:pStyle w:val="Tabletext0"/>
            </w:pPr>
            <w:r>
              <w:rPr>
                <w:i/>
                <w:iCs/>
                <w:color w:val="C00000"/>
              </w:rPr>
              <w:t>$32,541 per QALY gained</w:t>
            </w:r>
          </w:p>
        </w:tc>
      </w:tr>
    </w:tbl>
    <w:p w14:paraId="0204A7D8" w14:textId="77777777" w:rsidR="00B13F9D" w:rsidRDefault="00B13F9D" w:rsidP="00B13F9D">
      <w:pPr>
        <w:pStyle w:val="Tablenotes"/>
      </w:pPr>
      <w:r>
        <w:rPr>
          <w:b/>
          <w:bCs/>
        </w:rPr>
        <w:t>Abbreviations</w:t>
      </w:r>
      <w:r>
        <w:t>: CEA = cost effectiveness analysis; ICER = incremental cost effectiveness ratio; QALY = quality-adjusted life year</w:t>
      </w:r>
    </w:p>
    <w:p w14:paraId="07A7C80A" w14:textId="77777777" w:rsidR="00B13F9D" w:rsidRDefault="00B13F9D" w:rsidP="00B13F9D">
      <w:pPr>
        <w:pStyle w:val="Tablenotes"/>
      </w:pPr>
      <w:r>
        <w:rPr>
          <w:bCs/>
        </w:rPr>
        <w:t>Source</w:t>
      </w:r>
      <w:r>
        <w:t>: Adapted by Commentary from Table 61 (p.110) of the ADAR report.</w:t>
      </w:r>
    </w:p>
    <w:p w14:paraId="4AB1CE73" w14:textId="77777777" w:rsidR="00B13F9D" w:rsidRDefault="00B13F9D" w:rsidP="00B13F9D">
      <w:pPr>
        <w:pStyle w:val="Tablenotes"/>
      </w:pPr>
      <w:r>
        <w:t xml:space="preserve">Note Commentary revised the ADARs base case model, updating the annual discount formula, background mortality probability, cost of surgical assistance, transition to death in the first cycle and the </w:t>
      </w:r>
      <w:proofErr w:type="gramStart"/>
      <w:r>
        <w:t>comparator health state cost</w:t>
      </w:r>
      <w:proofErr w:type="gramEnd"/>
      <w:r>
        <w:t xml:space="preserve"> (use of discounted value).</w:t>
      </w:r>
    </w:p>
    <w:p w14:paraId="2249DFB2" w14:textId="77777777" w:rsidR="00B13F9D" w:rsidRDefault="00B13F9D" w:rsidP="00B13F9D">
      <w:pPr>
        <w:pStyle w:val="Tablenotes"/>
        <w:rPr>
          <w:i/>
        </w:rPr>
      </w:pPr>
      <w:proofErr w:type="gramStart"/>
      <w:r>
        <w:rPr>
          <w:i/>
        </w:rPr>
        <w:t>a</w:t>
      </w:r>
      <w:proofErr w:type="gramEnd"/>
      <w:r>
        <w:rPr>
          <w:i/>
        </w:rPr>
        <w:t xml:space="preserve"> Based on lesion fill using Blackman 2013</w:t>
      </w:r>
    </w:p>
    <w:p w14:paraId="071776A0" w14:textId="77777777" w:rsidR="00B13F9D" w:rsidRDefault="00B13F9D" w:rsidP="00B13F9D">
      <w:pPr>
        <w:pStyle w:val="Tablenotes"/>
        <w:rPr>
          <w:i/>
        </w:rPr>
      </w:pPr>
      <w:r>
        <w:rPr>
          <w:i/>
        </w:rPr>
        <w:t>Italicised represents comments added in during ESC</w:t>
      </w:r>
    </w:p>
    <w:p w14:paraId="2A2E8C20" w14:textId="5903FCF6" w:rsidR="00B13F9D" w:rsidRDefault="00B13F9D" w:rsidP="00B13F9D">
      <w:r>
        <w:t xml:space="preserve">The Commentary stated that model outcomes were highly sensitive to both the applied correlation between MRI and clinical outcomes and the time horizon selected, with greatest volatility </w:t>
      </w:r>
      <w:proofErr w:type="gramStart"/>
      <w:r>
        <w:t>being displayed</w:t>
      </w:r>
      <w:proofErr w:type="gramEnd"/>
      <w:r>
        <w:t xml:space="preserve"> at the lower end of the tested ranges and in the direction of increasing the ICER (</w:t>
      </w:r>
      <w:r w:rsidR="00212D24" w:rsidRPr="0095363B">
        <w:rPr>
          <w:szCs w:val="24"/>
        </w:rPr>
        <w:fldChar w:fldCharType="begin"/>
      </w:r>
      <w:r w:rsidR="00212D24" w:rsidRPr="0095363B">
        <w:rPr>
          <w:szCs w:val="24"/>
        </w:rPr>
        <w:instrText xml:space="preserve"> REF _Ref36563371 \h </w:instrText>
      </w:r>
      <w:r w:rsidR="0095363B" w:rsidRPr="0095363B">
        <w:rPr>
          <w:szCs w:val="24"/>
        </w:rPr>
        <w:instrText xml:space="preserve"> \* MERGEFORMAT </w:instrText>
      </w:r>
      <w:r w:rsidR="00212D24" w:rsidRPr="0095363B">
        <w:rPr>
          <w:szCs w:val="24"/>
        </w:rPr>
      </w:r>
      <w:r w:rsidR="00212D24" w:rsidRPr="0095363B">
        <w:rPr>
          <w:szCs w:val="24"/>
        </w:rPr>
        <w:fldChar w:fldCharType="separate"/>
      </w:r>
      <w:r w:rsidR="0095363B" w:rsidRPr="0095363B">
        <w:rPr>
          <w:szCs w:val="24"/>
        </w:rPr>
        <w:t xml:space="preserve">Figure </w:t>
      </w:r>
      <w:r w:rsidR="0095363B" w:rsidRPr="0095363B">
        <w:rPr>
          <w:noProof/>
          <w:szCs w:val="24"/>
        </w:rPr>
        <w:t>2</w:t>
      </w:r>
      <w:r w:rsidR="00212D24" w:rsidRPr="0095363B">
        <w:rPr>
          <w:szCs w:val="24"/>
        </w:rPr>
        <w:fldChar w:fldCharType="end"/>
      </w:r>
      <w:r>
        <w:t>).</w:t>
      </w:r>
    </w:p>
    <w:p w14:paraId="7F43C005" w14:textId="58495B9A" w:rsidR="00B13F9D" w:rsidRPr="005522F7" w:rsidRDefault="001647CA" w:rsidP="005522F7">
      <w:pPr>
        <w:spacing w:before="240"/>
        <w:rPr>
          <w:rFonts w:ascii="Arial Narrow" w:hAnsi="Arial Narrow"/>
          <w:b/>
          <w:sz w:val="20"/>
        </w:rPr>
      </w:pPr>
      <w:r w:rsidRPr="005522F7">
        <w:rPr>
          <w:rFonts w:ascii="Arial Narrow" w:hAnsi="Arial Narrow"/>
          <w:b/>
          <w:sz w:val="20"/>
        </w:rPr>
        <w:lastRenderedPageBreak/>
        <w:t>Redacted</w:t>
      </w:r>
      <w:r w:rsidRPr="005522F7" w:rsidDel="001647CA">
        <w:rPr>
          <w:rFonts w:ascii="Arial Narrow" w:hAnsi="Arial Narrow"/>
          <w:b/>
          <w:sz w:val="20"/>
        </w:rPr>
        <w:t xml:space="preserve"> </w:t>
      </w:r>
      <w:r w:rsidRPr="005522F7">
        <w:rPr>
          <w:rFonts w:ascii="Arial Narrow" w:hAnsi="Arial Narrow"/>
          <w:b/>
          <w:sz w:val="20"/>
        </w:rPr>
        <w:t xml:space="preserve">- </w:t>
      </w:r>
      <w:bookmarkStart w:id="17" w:name="_Ref36563371"/>
      <w:r w:rsidR="00212D24" w:rsidRPr="005522F7">
        <w:rPr>
          <w:rFonts w:ascii="Arial Narrow" w:hAnsi="Arial Narrow"/>
          <w:b/>
          <w:sz w:val="20"/>
        </w:rPr>
        <w:t xml:space="preserve">Figure </w:t>
      </w:r>
      <w:r w:rsidRPr="005522F7">
        <w:rPr>
          <w:rFonts w:ascii="Arial Narrow" w:hAnsi="Arial Narrow"/>
          <w:b/>
          <w:sz w:val="20"/>
        </w:rPr>
        <w:fldChar w:fldCharType="begin"/>
      </w:r>
      <w:r w:rsidRPr="005522F7">
        <w:rPr>
          <w:rFonts w:ascii="Arial Narrow" w:hAnsi="Arial Narrow"/>
          <w:b/>
          <w:sz w:val="20"/>
        </w:rPr>
        <w:instrText xml:space="preserve"> SEQ Figure \* ARABIC </w:instrText>
      </w:r>
      <w:r w:rsidRPr="005522F7">
        <w:rPr>
          <w:rFonts w:ascii="Arial Narrow" w:hAnsi="Arial Narrow"/>
          <w:b/>
          <w:sz w:val="20"/>
        </w:rPr>
        <w:fldChar w:fldCharType="separate"/>
      </w:r>
      <w:r w:rsidR="0095363B">
        <w:rPr>
          <w:rFonts w:ascii="Arial Narrow" w:hAnsi="Arial Narrow"/>
          <w:b/>
          <w:noProof/>
          <w:sz w:val="20"/>
        </w:rPr>
        <w:t>2</w:t>
      </w:r>
      <w:r w:rsidRPr="005522F7">
        <w:rPr>
          <w:rFonts w:ascii="Arial Narrow" w:hAnsi="Arial Narrow"/>
          <w:b/>
          <w:sz w:val="20"/>
        </w:rPr>
        <w:fldChar w:fldCharType="end"/>
      </w:r>
      <w:bookmarkEnd w:id="17"/>
      <w:r w:rsidR="00B13F9D" w:rsidRPr="005522F7">
        <w:rPr>
          <w:rFonts w:ascii="Arial Narrow" w:hAnsi="Arial Narrow"/>
          <w:b/>
          <w:sz w:val="20"/>
        </w:rPr>
        <w:tab/>
        <w:t>Tornado diagram</w:t>
      </w:r>
    </w:p>
    <w:p w14:paraId="349031B4" w14:textId="16732020" w:rsidR="00B13F9D" w:rsidRPr="003A77FE" w:rsidRDefault="00B13F9D" w:rsidP="003A77FE">
      <w:pPr>
        <w:spacing w:before="240"/>
        <w:rPr>
          <w:i/>
        </w:rPr>
      </w:pPr>
      <w:r>
        <w:t xml:space="preserve">The Commentary performed additional multivariate sensitivity analyses within the bounds of the ADAR’s model structure, which demonstrated that the model is volatile when annual regression and/or reintervention rates </w:t>
      </w:r>
      <w:proofErr w:type="gramStart"/>
      <w:r>
        <w:t>are manipulated</w:t>
      </w:r>
      <w:proofErr w:type="gramEnd"/>
      <w:r>
        <w:t xml:space="preserve"> to force the reintervention rate at 20</w:t>
      </w:r>
      <w:r w:rsidR="003A77FE">
        <w:t> </w:t>
      </w:r>
      <w:r>
        <w:t>years in the microfracture arm to ≈ 56% (</w:t>
      </w:r>
      <w:r w:rsidR="00212D24" w:rsidRPr="0095363B">
        <w:rPr>
          <w:szCs w:val="24"/>
        </w:rPr>
        <w:fldChar w:fldCharType="begin"/>
      </w:r>
      <w:r w:rsidR="00212D24" w:rsidRPr="0095363B">
        <w:rPr>
          <w:szCs w:val="24"/>
        </w:rPr>
        <w:instrText xml:space="preserve"> REF _Ref50387223 \h </w:instrText>
      </w:r>
      <w:r w:rsidR="0095363B" w:rsidRPr="0095363B">
        <w:rPr>
          <w:szCs w:val="24"/>
        </w:rPr>
        <w:instrText xml:space="preserve"> \* MERGEFORMAT </w:instrText>
      </w:r>
      <w:r w:rsidR="00212D24" w:rsidRPr="0095363B">
        <w:rPr>
          <w:szCs w:val="24"/>
        </w:rPr>
      </w:r>
      <w:r w:rsidR="00212D24" w:rsidRPr="0095363B">
        <w:rPr>
          <w:szCs w:val="24"/>
        </w:rPr>
        <w:fldChar w:fldCharType="separate"/>
      </w:r>
      <w:r w:rsidR="0095363B" w:rsidRPr="0095363B">
        <w:rPr>
          <w:szCs w:val="24"/>
        </w:rPr>
        <w:t xml:space="preserve">Table </w:t>
      </w:r>
      <w:r w:rsidR="0095363B" w:rsidRPr="0095363B">
        <w:rPr>
          <w:noProof/>
          <w:szCs w:val="24"/>
        </w:rPr>
        <w:t>8</w:t>
      </w:r>
      <w:r w:rsidR="00212D24" w:rsidRPr="0095363B">
        <w:rPr>
          <w:szCs w:val="24"/>
        </w:rPr>
        <w:fldChar w:fldCharType="end"/>
      </w:r>
      <w:r w:rsidRPr="0095363B">
        <w:rPr>
          <w:szCs w:val="24"/>
        </w:rPr>
        <w:t>).</w:t>
      </w:r>
      <w:r>
        <w:t xml:space="preserve"> The Commentary stated that manipulation of model parameters to fabricate </w:t>
      </w:r>
      <w:proofErr w:type="gramStart"/>
      <w:r>
        <w:t>situations which may better reflect expected long-term outcomes in the microfracture arm suggest the misalignment between the extrapolated</w:t>
      </w:r>
      <w:proofErr w:type="gramEnd"/>
      <w:r>
        <w:t xml:space="preserve"> and expected patient pathways after microfracture are of concern. Overall, the Commentary had little confidence in results of the economic evaluation.</w:t>
      </w:r>
    </w:p>
    <w:p w14:paraId="1ACFA03B" w14:textId="3D474B49" w:rsidR="00B13F9D" w:rsidRPr="005522F7" w:rsidRDefault="00212D24" w:rsidP="005522F7">
      <w:pPr>
        <w:spacing w:before="240"/>
        <w:rPr>
          <w:rFonts w:ascii="Arial Narrow" w:hAnsi="Arial Narrow"/>
          <w:b/>
          <w:sz w:val="20"/>
        </w:rPr>
      </w:pPr>
      <w:bookmarkStart w:id="18" w:name="_Ref50387223"/>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8</w:t>
      </w:r>
      <w:r w:rsidR="001647CA" w:rsidRPr="005522F7">
        <w:rPr>
          <w:rFonts w:ascii="Arial Narrow" w:hAnsi="Arial Narrow"/>
          <w:b/>
          <w:sz w:val="20"/>
        </w:rPr>
        <w:fldChar w:fldCharType="end"/>
      </w:r>
      <w:bookmarkEnd w:id="18"/>
      <w:r w:rsidR="00B13F9D" w:rsidRPr="005522F7">
        <w:rPr>
          <w:rFonts w:ascii="Arial Narrow" w:hAnsi="Arial Narrow"/>
          <w:b/>
          <w:sz w:val="20"/>
        </w:rPr>
        <w:tab/>
        <w:t>Multivariate analyses on regression and reintervention rates performed for the Commentary</w:t>
      </w:r>
      <w:r w:rsidR="00E5606A" w:rsidRPr="005522F7">
        <w:rPr>
          <w:rFonts w:ascii="Arial Narrow" w:hAnsi="Arial Narrow"/>
          <w:b/>
          <w:sz w:val="20"/>
        </w:rPr>
        <w:t xml:space="preserve"> and for the pre MSAC response (</w:t>
      </w:r>
      <w:r w:rsidR="00E5606A" w:rsidRPr="005522F7">
        <w:rPr>
          <w:rFonts w:ascii="Arial Narrow" w:hAnsi="Arial Narrow"/>
          <w:b/>
          <w:color w:val="365F91" w:themeColor="accent1" w:themeShade="BF"/>
          <w:sz w:val="20"/>
        </w:rPr>
        <w:t>in blue</w:t>
      </w:r>
      <w:r w:rsidR="00E5606A" w:rsidRPr="005522F7">
        <w:rPr>
          <w:rFonts w:ascii="Arial Narrow" w:hAnsi="Arial Narrow"/>
          <w:b/>
          <w:sz w:val="20"/>
        </w:rPr>
        <w:t>)</w:t>
      </w:r>
    </w:p>
    <w:tbl>
      <w:tblPr>
        <w:tblStyle w:val="TableGrid"/>
        <w:tblW w:w="5000" w:type="pct"/>
        <w:tblCellMar>
          <w:left w:w="28" w:type="dxa"/>
          <w:right w:w="28" w:type="dxa"/>
        </w:tblCellMar>
        <w:tblLook w:val="04A0" w:firstRow="1" w:lastRow="0" w:firstColumn="1" w:lastColumn="0" w:noHBand="0" w:noVBand="1"/>
        <w:tblCaption w:val="Table 8 Multivariate analyses on regression and reintervention rates performed for the Commentary"/>
      </w:tblPr>
      <w:tblGrid>
        <w:gridCol w:w="495"/>
        <w:gridCol w:w="1098"/>
        <w:gridCol w:w="1095"/>
        <w:gridCol w:w="1378"/>
        <w:gridCol w:w="1235"/>
        <w:gridCol w:w="1196"/>
        <w:gridCol w:w="1396"/>
        <w:gridCol w:w="1123"/>
      </w:tblGrid>
      <w:tr w:rsidR="0016110F" w14:paraId="3EF09E02" w14:textId="77777777" w:rsidTr="001647CA">
        <w:trPr>
          <w:trHeight w:val="254"/>
          <w:tblHeader/>
        </w:trPr>
        <w:tc>
          <w:tcPr>
            <w:tcW w:w="275" w:type="pct"/>
            <w:tcBorders>
              <w:top w:val="single" w:sz="4" w:space="0" w:color="auto"/>
              <w:left w:val="single" w:sz="4" w:space="0" w:color="auto"/>
              <w:bottom w:val="nil"/>
              <w:right w:val="single" w:sz="4" w:space="0" w:color="auto"/>
            </w:tcBorders>
          </w:tcPr>
          <w:p w14:paraId="2A42C91B" w14:textId="77777777" w:rsidR="0016110F" w:rsidRDefault="0016110F">
            <w:pPr>
              <w:pStyle w:val="Tabletext0"/>
              <w:rPr>
                <w:b/>
                <w:bCs/>
              </w:rPr>
            </w:pPr>
          </w:p>
        </w:tc>
        <w:tc>
          <w:tcPr>
            <w:tcW w:w="2664" w:type="pct"/>
            <w:gridSpan w:val="4"/>
            <w:tcBorders>
              <w:top w:val="single" w:sz="4" w:space="0" w:color="auto"/>
              <w:left w:val="single" w:sz="4" w:space="0" w:color="auto"/>
              <w:bottom w:val="single" w:sz="4" w:space="0" w:color="auto"/>
              <w:right w:val="single" w:sz="4" w:space="0" w:color="auto"/>
            </w:tcBorders>
            <w:hideMark/>
          </w:tcPr>
          <w:p w14:paraId="5F29EA32" w14:textId="77777777" w:rsidR="0016110F" w:rsidRDefault="0016110F">
            <w:pPr>
              <w:pStyle w:val="Tabletext0"/>
              <w:jc w:val="center"/>
              <w:rPr>
                <w:b/>
                <w:bCs/>
              </w:rPr>
            </w:pPr>
            <w:r>
              <w:rPr>
                <w:b/>
                <w:bCs/>
              </w:rPr>
              <w:t>Scenario</w:t>
            </w:r>
          </w:p>
        </w:tc>
        <w:tc>
          <w:tcPr>
            <w:tcW w:w="663" w:type="pct"/>
            <w:vMerge w:val="restart"/>
            <w:tcBorders>
              <w:top w:val="single" w:sz="4" w:space="0" w:color="auto"/>
              <w:left w:val="single" w:sz="4" w:space="0" w:color="auto"/>
              <w:bottom w:val="single" w:sz="4" w:space="0" w:color="auto"/>
              <w:right w:val="single" w:sz="4" w:space="0" w:color="auto"/>
            </w:tcBorders>
            <w:vAlign w:val="center"/>
            <w:hideMark/>
          </w:tcPr>
          <w:p w14:paraId="660A74C0" w14:textId="77777777" w:rsidR="0016110F" w:rsidRDefault="0016110F">
            <w:pPr>
              <w:pStyle w:val="Tabletext0"/>
              <w:rPr>
                <w:b/>
                <w:bCs/>
              </w:rPr>
            </w:pPr>
            <w:r>
              <w:rPr>
                <w:b/>
                <w:bCs/>
              </w:rPr>
              <w:t>Incr. cost</w:t>
            </w:r>
          </w:p>
        </w:tc>
        <w:tc>
          <w:tcPr>
            <w:tcW w:w="774" w:type="pct"/>
            <w:vMerge w:val="restart"/>
            <w:tcBorders>
              <w:top w:val="single" w:sz="4" w:space="0" w:color="auto"/>
              <w:left w:val="single" w:sz="4" w:space="0" w:color="auto"/>
              <w:bottom w:val="single" w:sz="4" w:space="0" w:color="auto"/>
              <w:right w:val="single" w:sz="4" w:space="0" w:color="auto"/>
            </w:tcBorders>
            <w:vAlign w:val="center"/>
            <w:hideMark/>
          </w:tcPr>
          <w:p w14:paraId="3A2DDBDE" w14:textId="77777777" w:rsidR="0016110F" w:rsidRDefault="0016110F">
            <w:pPr>
              <w:pStyle w:val="Tabletext0"/>
              <w:rPr>
                <w:b/>
                <w:bCs/>
              </w:rPr>
            </w:pPr>
            <w:r>
              <w:rPr>
                <w:b/>
                <w:bCs/>
              </w:rPr>
              <w:t>Incr. QALYs</w:t>
            </w:r>
          </w:p>
        </w:tc>
        <w:tc>
          <w:tcPr>
            <w:tcW w:w="624" w:type="pct"/>
            <w:vMerge w:val="restart"/>
            <w:tcBorders>
              <w:top w:val="single" w:sz="4" w:space="0" w:color="auto"/>
              <w:left w:val="single" w:sz="4" w:space="0" w:color="auto"/>
              <w:bottom w:val="single" w:sz="4" w:space="0" w:color="auto"/>
              <w:right w:val="single" w:sz="4" w:space="0" w:color="auto"/>
            </w:tcBorders>
            <w:vAlign w:val="center"/>
            <w:hideMark/>
          </w:tcPr>
          <w:p w14:paraId="0C589FA1" w14:textId="77777777" w:rsidR="0016110F" w:rsidRDefault="0016110F">
            <w:pPr>
              <w:pStyle w:val="Tabletext0"/>
              <w:rPr>
                <w:b/>
                <w:bCs/>
              </w:rPr>
            </w:pPr>
            <w:r>
              <w:rPr>
                <w:b/>
                <w:bCs/>
              </w:rPr>
              <w:t>ICER</w:t>
            </w:r>
          </w:p>
        </w:tc>
      </w:tr>
      <w:tr w:rsidR="0016110F" w14:paraId="22CCC7F9" w14:textId="77777777" w:rsidTr="001647CA">
        <w:trPr>
          <w:tblHeader/>
        </w:trPr>
        <w:tc>
          <w:tcPr>
            <w:tcW w:w="275" w:type="pct"/>
            <w:tcBorders>
              <w:top w:val="nil"/>
              <w:left w:val="single" w:sz="4" w:space="0" w:color="auto"/>
              <w:bottom w:val="single" w:sz="4" w:space="0" w:color="auto"/>
              <w:right w:val="single" w:sz="4" w:space="0" w:color="auto"/>
            </w:tcBorders>
          </w:tcPr>
          <w:p w14:paraId="2FEA873F" w14:textId="77777777" w:rsidR="0016110F" w:rsidRDefault="0016110F">
            <w:pPr>
              <w:pStyle w:val="Tabletext0"/>
              <w:rPr>
                <w:b/>
                <w:bCs/>
              </w:rPr>
            </w:pPr>
          </w:p>
        </w:tc>
        <w:tc>
          <w:tcPr>
            <w:tcW w:w="609" w:type="pct"/>
            <w:tcBorders>
              <w:top w:val="single" w:sz="4" w:space="0" w:color="auto"/>
              <w:left w:val="single" w:sz="4" w:space="0" w:color="auto"/>
              <w:bottom w:val="single" w:sz="4" w:space="0" w:color="auto"/>
              <w:right w:val="single" w:sz="4" w:space="0" w:color="auto"/>
            </w:tcBorders>
            <w:hideMark/>
          </w:tcPr>
          <w:p w14:paraId="53535187" w14:textId="77777777" w:rsidR="0016110F" w:rsidRDefault="0016110F">
            <w:pPr>
              <w:pStyle w:val="Tabletext0"/>
              <w:rPr>
                <w:b/>
                <w:bCs/>
              </w:rPr>
            </w:pPr>
            <w:r>
              <w:rPr>
                <w:b/>
                <w:bCs/>
              </w:rPr>
              <w:t>% regress</w:t>
            </w:r>
          </w:p>
        </w:tc>
        <w:tc>
          <w:tcPr>
            <w:tcW w:w="607" w:type="pct"/>
            <w:tcBorders>
              <w:top w:val="single" w:sz="4" w:space="0" w:color="auto"/>
              <w:left w:val="single" w:sz="4" w:space="0" w:color="auto"/>
              <w:bottom w:val="single" w:sz="4" w:space="0" w:color="auto"/>
              <w:right w:val="single" w:sz="4" w:space="0" w:color="auto"/>
            </w:tcBorders>
            <w:hideMark/>
          </w:tcPr>
          <w:p w14:paraId="3E6B997C" w14:textId="77777777" w:rsidR="0016110F" w:rsidRDefault="0016110F">
            <w:pPr>
              <w:pStyle w:val="Tabletext0"/>
              <w:rPr>
                <w:b/>
                <w:bCs/>
              </w:rPr>
            </w:pPr>
            <w:r>
              <w:rPr>
                <w:b/>
                <w:bCs/>
              </w:rPr>
              <w:t>% retreat</w:t>
            </w:r>
          </w:p>
        </w:tc>
        <w:tc>
          <w:tcPr>
            <w:tcW w:w="764" w:type="pct"/>
            <w:tcBorders>
              <w:top w:val="single" w:sz="4" w:space="0" w:color="auto"/>
              <w:left w:val="single" w:sz="4" w:space="0" w:color="auto"/>
              <w:bottom w:val="single" w:sz="4" w:space="0" w:color="auto"/>
              <w:right w:val="single" w:sz="4" w:space="0" w:color="auto"/>
            </w:tcBorders>
            <w:hideMark/>
          </w:tcPr>
          <w:p w14:paraId="40EC0409" w14:textId="77777777" w:rsidR="0016110F" w:rsidRDefault="0016110F">
            <w:pPr>
              <w:pStyle w:val="Tabletext0"/>
              <w:rPr>
                <w:b/>
                <w:bCs/>
              </w:rPr>
            </w:pPr>
            <w:r>
              <w:rPr>
                <w:b/>
                <w:bCs/>
              </w:rPr>
              <w:t>Retreat procedure</w:t>
            </w:r>
          </w:p>
        </w:tc>
        <w:tc>
          <w:tcPr>
            <w:tcW w:w="685" w:type="pct"/>
            <w:tcBorders>
              <w:top w:val="single" w:sz="4" w:space="0" w:color="auto"/>
              <w:left w:val="single" w:sz="4" w:space="0" w:color="auto"/>
              <w:bottom w:val="single" w:sz="4" w:space="0" w:color="auto"/>
              <w:right w:val="single" w:sz="4" w:space="0" w:color="auto"/>
            </w:tcBorders>
            <w:hideMark/>
          </w:tcPr>
          <w:p w14:paraId="3963ACE1" w14:textId="77777777" w:rsidR="0016110F" w:rsidRDefault="0016110F">
            <w:pPr>
              <w:pStyle w:val="Tabletext0"/>
              <w:rPr>
                <w:b/>
                <w:bCs/>
              </w:rPr>
            </w:pPr>
            <w:r>
              <w:rPr>
                <w:b/>
                <w:bCs/>
              </w:rPr>
              <w:t>Retreat success</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FEC04E3" w14:textId="77777777" w:rsidR="0016110F" w:rsidRDefault="0016110F">
            <w:pPr>
              <w:rPr>
                <w:rFonts w:ascii="Arial Narrow" w:hAnsi="Arial Narrow"/>
                <w:b/>
                <w:bCs/>
                <w:sz w:val="20"/>
                <w:szCs w:val="24"/>
                <w:lang w:eastAsia="en-US"/>
              </w:rPr>
            </w:pPr>
          </w:p>
        </w:tc>
        <w:tc>
          <w:tcPr>
            <w:tcW w:w="774" w:type="pct"/>
            <w:vMerge/>
            <w:tcBorders>
              <w:top w:val="single" w:sz="4" w:space="0" w:color="auto"/>
              <w:left w:val="single" w:sz="4" w:space="0" w:color="auto"/>
              <w:bottom w:val="single" w:sz="4" w:space="0" w:color="auto"/>
              <w:right w:val="single" w:sz="4" w:space="0" w:color="auto"/>
            </w:tcBorders>
            <w:vAlign w:val="center"/>
            <w:hideMark/>
          </w:tcPr>
          <w:p w14:paraId="5C844770" w14:textId="77777777" w:rsidR="0016110F" w:rsidRDefault="0016110F">
            <w:pPr>
              <w:rPr>
                <w:rFonts w:ascii="Arial Narrow" w:hAnsi="Arial Narrow"/>
                <w:b/>
                <w:bCs/>
                <w:sz w:val="20"/>
                <w:szCs w:val="24"/>
                <w:lang w:eastAsia="en-US"/>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59B57EC2" w14:textId="77777777" w:rsidR="0016110F" w:rsidRDefault="0016110F">
            <w:pPr>
              <w:rPr>
                <w:rFonts w:ascii="Arial Narrow" w:hAnsi="Arial Narrow"/>
                <w:b/>
                <w:bCs/>
                <w:sz w:val="20"/>
                <w:szCs w:val="24"/>
                <w:lang w:eastAsia="en-US"/>
              </w:rPr>
            </w:pPr>
          </w:p>
        </w:tc>
      </w:tr>
      <w:tr w:rsidR="0016110F" w14:paraId="651EE5DF" w14:textId="77777777" w:rsidTr="0016110F">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2059B9" w14:textId="77777777" w:rsidR="0016110F" w:rsidRDefault="0016110F">
            <w:pPr>
              <w:pStyle w:val="Tabletext0"/>
              <w:rPr>
                <w:i/>
                <w:iCs/>
              </w:rPr>
            </w:pPr>
            <w:r>
              <w:rPr>
                <w:i/>
                <w:iCs/>
              </w:rPr>
              <w:t>Treatment failure/reintervention at 20 years (goal seek)</w:t>
            </w:r>
          </w:p>
        </w:tc>
      </w:tr>
      <w:tr w:rsidR="0016110F" w14:paraId="6B639B77" w14:textId="77777777" w:rsidTr="0016110F">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589C7" w14:textId="77777777" w:rsidR="0016110F" w:rsidRPr="003724D7" w:rsidRDefault="0016110F">
            <w:pPr>
              <w:pStyle w:val="Tabletext0"/>
              <w:rPr>
                <w:i/>
                <w:iCs/>
              </w:rPr>
            </w:pPr>
            <w:r w:rsidRPr="003724D7">
              <w:rPr>
                <w:i/>
                <w:color w:val="C00000"/>
              </w:rPr>
              <w:t>Comment</w:t>
            </w:r>
            <w:r>
              <w:rPr>
                <w:i/>
                <w:color w:val="C00000"/>
              </w:rPr>
              <w:t xml:space="preserve">ary (analyses based on CEA by </w:t>
            </w:r>
            <w:proofErr w:type="spellStart"/>
            <w:r>
              <w:rPr>
                <w:i/>
                <w:color w:val="C00000"/>
              </w:rPr>
              <w:t>Elvidge</w:t>
            </w:r>
            <w:proofErr w:type="spellEnd"/>
            <w:r w:rsidRPr="003724D7">
              <w:rPr>
                <w:i/>
                <w:color w:val="C00000"/>
              </w:rPr>
              <w:t xml:space="preserve"> 2016)</w:t>
            </w:r>
          </w:p>
        </w:tc>
      </w:tr>
      <w:tr w:rsidR="0016110F" w14:paraId="5FFE778C" w14:textId="77777777" w:rsidTr="001647CA">
        <w:tc>
          <w:tcPr>
            <w:tcW w:w="275" w:type="pct"/>
            <w:tcBorders>
              <w:top w:val="single" w:sz="4" w:space="0" w:color="auto"/>
              <w:left w:val="single" w:sz="4" w:space="0" w:color="auto"/>
              <w:bottom w:val="single" w:sz="4" w:space="0" w:color="auto"/>
              <w:right w:val="single" w:sz="4" w:space="0" w:color="auto"/>
            </w:tcBorders>
            <w:hideMark/>
          </w:tcPr>
          <w:p w14:paraId="67500DF4" w14:textId="77777777" w:rsidR="0016110F" w:rsidRDefault="0016110F">
            <w:pPr>
              <w:pStyle w:val="Tabletext0"/>
            </w:pPr>
            <w:r>
              <w:t>1</w:t>
            </w:r>
          </w:p>
        </w:tc>
        <w:tc>
          <w:tcPr>
            <w:tcW w:w="609" w:type="pct"/>
            <w:tcBorders>
              <w:top w:val="single" w:sz="4" w:space="0" w:color="auto"/>
              <w:left w:val="single" w:sz="4" w:space="0" w:color="auto"/>
              <w:bottom w:val="single" w:sz="4" w:space="0" w:color="auto"/>
              <w:right w:val="single" w:sz="4" w:space="0" w:color="auto"/>
            </w:tcBorders>
            <w:hideMark/>
          </w:tcPr>
          <w:p w14:paraId="05342EDF" w14:textId="77777777" w:rsidR="0016110F" w:rsidRDefault="0016110F">
            <w:pPr>
              <w:pStyle w:val="Tabletext0"/>
            </w:pPr>
            <w:r>
              <w:t>5%</w:t>
            </w:r>
          </w:p>
        </w:tc>
        <w:tc>
          <w:tcPr>
            <w:tcW w:w="607" w:type="pct"/>
            <w:tcBorders>
              <w:top w:val="single" w:sz="4" w:space="0" w:color="auto"/>
              <w:left w:val="single" w:sz="4" w:space="0" w:color="auto"/>
              <w:bottom w:val="single" w:sz="4" w:space="0" w:color="auto"/>
              <w:right w:val="single" w:sz="4" w:space="0" w:color="auto"/>
            </w:tcBorders>
            <w:hideMark/>
          </w:tcPr>
          <w:p w14:paraId="3DF6E3B3" w14:textId="77777777" w:rsidR="0016110F" w:rsidRDefault="0016110F">
            <w:pPr>
              <w:pStyle w:val="CommentTabletext"/>
              <w:rPr>
                <w:lang w:eastAsia="en-US"/>
              </w:rPr>
            </w:pPr>
            <w:r>
              <w:rPr>
                <w:lang w:eastAsia="en-US"/>
              </w:rPr>
              <w:t>11.45%</w:t>
            </w:r>
          </w:p>
        </w:tc>
        <w:tc>
          <w:tcPr>
            <w:tcW w:w="764" w:type="pct"/>
            <w:vMerge w:val="restart"/>
            <w:tcBorders>
              <w:top w:val="single" w:sz="4" w:space="0" w:color="auto"/>
              <w:left w:val="single" w:sz="4" w:space="0" w:color="auto"/>
              <w:bottom w:val="single" w:sz="4" w:space="0" w:color="auto"/>
              <w:right w:val="single" w:sz="4" w:space="0" w:color="auto"/>
            </w:tcBorders>
            <w:vAlign w:val="center"/>
            <w:hideMark/>
          </w:tcPr>
          <w:p w14:paraId="438A16D4" w14:textId="77777777" w:rsidR="0016110F" w:rsidRDefault="0016110F">
            <w:pPr>
              <w:pStyle w:val="Tabletext0"/>
              <w:rPr>
                <w:lang w:eastAsia="en-US"/>
              </w:rPr>
            </w:pPr>
            <w:r>
              <w:t>50% MF and 50% TKR †</w:t>
            </w:r>
          </w:p>
        </w:tc>
        <w:tc>
          <w:tcPr>
            <w:tcW w:w="685" w:type="pct"/>
            <w:vMerge w:val="restart"/>
            <w:tcBorders>
              <w:top w:val="single" w:sz="4" w:space="0" w:color="auto"/>
              <w:left w:val="single" w:sz="4" w:space="0" w:color="auto"/>
              <w:bottom w:val="single" w:sz="4" w:space="0" w:color="auto"/>
              <w:right w:val="single" w:sz="4" w:space="0" w:color="auto"/>
            </w:tcBorders>
            <w:vAlign w:val="center"/>
            <w:hideMark/>
          </w:tcPr>
          <w:p w14:paraId="239AA3D3" w14:textId="77777777" w:rsidR="0016110F" w:rsidRDefault="0016110F">
            <w:pPr>
              <w:pStyle w:val="Tabletext0"/>
            </w:pPr>
            <w:r>
              <w:t>0.85 ‡</w:t>
            </w:r>
          </w:p>
        </w:tc>
        <w:tc>
          <w:tcPr>
            <w:tcW w:w="663" w:type="pct"/>
            <w:tcBorders>
              <w:top w:val="single" w:sz="4" w:space="0" w:color="auto"/>
              <w:left w:val="single" w:sz="4" w:space="0" w:color="auto"/>
              <w:bottom w:val="single" w:sz="4" w:space="0" w:color="auto"/>
              <w:right w:val="single" w:sz="4" w:space="0" w:color="auto"/>
            </w:tcBorders>
            <w:hideMark/>
          </w:tcPr>
          <w:p w14:paraId="7E8BA333" w14:textId="1ABA087A" w:rsidR="0016110F" w:rsidRDefault="0016110F" w:rsidP="001647CA">
            <w:pPr>
              <w:pStyle w:val="CommentTabletext"/>
              <w:rPr>
                <w:lang w:eastAsia="en-US"/>
              </w:rPr>
            </w:pPr>
            <w:r>
              <w:rPr>
                <w:lang w:eastAsia="en-US"/>
              </w:rPr>
              <w:t>$</w:t>
            </w:r>
            <w:r w:rsidR="001647CA">
              <w:rPr>
                <w:lang w:eastAsia="en-US"/>
              </w:rPr>
              <w:t>redacted</w:t>
            </w:r>
          </w:p>
        </w:tc>
        <w:tc>
          <w:tcPr>
            <w:tcW w:w="774" w:type="pct"/>
            <w:tcBorders>
              <w:top w:val="single" w:sz="4" w:space="0" w:color="auto"/>
              <w:left w:val="single" w:sz="4" w:space="0" w:color="auto"/>
              <w:bottom w:val="single" w:sz="4" w:space="0" w:color="auto"/>
              <w:right w:val="single" w:sz="4" w:space="0" w:color="auto"/>
            </w:tcBorders>
            <w:hideMark/>
          </w:tcPr>
          <w:p w14:paraId="4E00DBA7" w14:textId="2821CC25" w:rsidR="0016110F" w:rsidRDefault="001647CA">
            <w:pPr>
              <w:pStyle w:val="CommentTabletext"/>
              <w:rPr>
                <w:lang w:eastAsia="en-US"/>
              </w:rPr>
            </w:pPr>
            <w:r>
              <w:rPr>
                <w:lang w:eastAsia="en-US"/>
              </w:rPr>
              <w:t>redacted</w:t>
            </w:r>
          </w:p>
        </w:tc>
        <w:tc>
          <w:tcPr>
            <w:tcW w:w="624" w:type="pct"/>
            <w:tcBorders>
              <w:top w:val="single" w:sz="4" w:space="0" w:color="auto"/>
              <w:left w:val="single" w:sz="4" w:space="0" w:color="auto"/>
              <w:bottom w:val="single" w:sz="4" w:space="0" w:color="auto"/>
              <w:right w:val="single" w:sz="4" w:space="0" w:color="auto"/>
            </w:tcBorders>
            <w:hideMark/>
          </w:tcPr>
          <w:p w14:paraId="11F786E3" w14:textId="5460124C" w:rsidR="0016110F" w:rsidRDefault="0016110F" w:rsidP="001647CA">
            <w:pPr>
              <w:pStyle w:val="CommentTabletext"/>
              <w:rPr>
                <w:lang w:eastAsia="en-US"/>
              </w:rPr>
            </w:pPr>
            <w:r>
              <w:rPr>
                <w:lang w:eastAsia="en-US"/>
              </w:rPr>
              <w:t>$</w:t>
            </w:r>
            <w:r w:rsidR="001647CA">
              <w:rPr>
                <w:lang w:eastAsia="en-US"/>
              </w:rPr>
              <w:t>redacted</w:t>
            </w:r>
          </w:p>
        </w:tc>
      </w:tr>
      <w:tr w:rsidR="001647CA" w14:paraId="03BCE714" w14:textId="77777777" w:rsidTr="001647CA">
        <w:trPr>
          <w:trHeight w:val="60"/>
        </w:trPr>
        <w:tc>
          <w:tcPr>
            <w:tcW w:w="275" w:type="pct"/>
            <w:tcBorders>
              <w:top w:val="single" w:sz="4" w:space="0" w:color="auto"/>
              <w:left w:val="single" w:sz="4" w:space="0" w:color="auto"/>
              <w:bottom w:val="single" w:sz="4" w:space="0" w:color="auto"/>
              <w:right w:val="single" w:sz="4" w:space="0" w:color="auto"/>
            </w:tcBorders>
            <w:hideMark/>
          </w:tcPr>
          <w:p w14:paraId="403D21D5" w14:textId="77777777" w:rsidR="001647CA" w:rsidRDefault="001647CA" w:rsidP="001647CA">
            <w:pPr>
              <w:pStyle w:val="Tabletext0"/>
              <w:rPr>
                <w:lang w:eastAsia="en-US"/>
              </w:rPr>
            </w:pPr>
            <w:r>
              <w:t>2</w:t>
            </w:r>
          </w:p>
        </w:tc>
        <w:tc>
          <w:tcPr>
            <w:tcW w:w="609" w:type="pct"/>
            <w:tcBorders>
              <w:top w:val="single" w:sz="4" w:space="0" w:color="auto"/>
              <w:left w:val="single" w:sz="4" w:space="0" w:color="auto"/>
              <w:bottom w:val="single" w:sz="4" w:space="0" w:color="auto"/>
              <w:right w:val="single" w:sz="4" w:space="0" w:color="auto"/>
            </w:tcBorders>
            <w:hideMark/>
          </w:tcPr>
          <w:p w14:paraId="0447B868" w14:textId="77777777" w:rsidR="001647CA" w:rsidRDefault="001647CA" w:rsidP="001647CA">
            <w:pPr>
              <w:pStyle w:val="CommentTabletext"/>
              <w:rPr>
                <w:lang w:eastAsia="en-US"/>
              </w:rPr>
            </w:pPr>
            <w:r>
              <w:rPr>
                <w:lang w:eastAsia="en-US"/>
              </w:rPr>
              <w:t>7.88%</w:t>
            </w:r>
          </w:p>
        </w:tc>
        <w:tc>
          <w:tcPr>
            <w:tcW w:w="607" w:type="pct"/>
            <w:tcBorders>
              <w:top w:val="single" w:sz="4" w:space="0" w:color="auto"/>
              <w:left w:val="single" w:sz="4" w:space="0" w:color="auto"/>
              <w:bottom w:val="single" w:sz="4" w:space="0" w:color="auto"/>
              <w:right w:val="single" w:sz="4" w:space="0" w:color="auto"/>
            </w:tcBorders>
            <w:hideMark/>
          </w:tcPr>
          <w:p w14:paraId="4E7A20F5" w14:textId="77777777" w:rsidR="001647CA" w:rsidRDefault="001647CA" w:rsidP="001647CA">
            <w:pPr>
              <w:pStyle w:val="CommentTabletext"/>
              <w:rPr>
                <w:lang w:eastAsia="en-US"/>
              </w:rPr>
            </w:pPr>
            <w:r>
              <w:rPr>
                <w:lang w:eastAsia="en-US"/>
              </w:rPr>
              <w:t>7.88%</w:t>
            </w:r>
          </w:p>
        </w:tc>
        <w:tc>
          <w:tcPr>
            <w:tcW w:w="764" w:type="pct"/>
            <w:vMerge/>
            <w:tcBorders>
              <w:top w:val="single" w:sz="4" w:space="0" w:color="auto"/>
              <w:left w:val="single" w:sz="4" w:space="0" w:color="auto"/>
              <w:bottom w:val="single" w:sz="4" w:space="0" w:color="auto"/>
              <w:right w:val="single" w:sz="4" w:space="0" w:color="auto"/>
            </w:tcBorders>
            <w:vAlign w:val="center"/>
            <w:hideMark/>
          </w:tcPr>
          <w:p w14:paraId="3E4F332B" w14:textId="77777777" w:rsidR="001647CA" w:rsidRDefault="001647CA" w:rsidP="001647CA">
            <w:pPr>
              <w:rPr>
                <w:rFonts w:ascii="Arial Narrow" w:hAnsi="Arial Narrow"/>
                <w:sz w:val="20"/>
                <w:szCs w:val="24"/>
                <w:lang w:eastAsia="en-US"/>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F6ABC21" w14:textId="77777777" w:rsidR="001647CA" w:rsidRDefault="001647CA" w:rsidP="001647CA">
            <w:pPr>
              <w:rPr>
                <w:rFonts w:ascii="Arial Narrow" w:hAnsi="Arial Narrow"/>
                <w:sz w:val="20"/>
                <w:szCs w:val="24"/>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3CC03114" w14:textId="40547568" w:rsidR="001647CA" w:rsidRDefault="001647CA" w:rsidP="001647CA">
            <w:pPr>
              <w:pStyle w:val="CommentTabletext"/>
              <w:rPr>
                <w:lang w:eastAsia="en-US"/>
              </w:rPr>
            </w:pPr>
            <w:r>
              <w:rPr>
                <w:lang w:eastAsia="en-US"/>
              </w:rPr>
              <w:t>$redacted</w:t>
            </w:r>
          </w:p>
        </w:tc>
        <w:tc>
          <w:tcPr>
            <w:tcW w:w="774" w:type="pct"/>
            <w:tcBorders>
              <w:top w:val="single" w:sz="4" w:space="0" w:color="auto"/>
              <w:left w:val="single" w:sz="4" w:space="0" w:color="auto"/>
              <w:bottom w:val="single" w:sz="4" w:space="0" w:color="auto"/>
              <w:right w:val="single" w:sz="4" w:space="0" w:color="auto"/>
            </w:tcBorders>
            <w:hideMark/>
          </w:tcPr>
          <w:p w14:paraId="3427A61B" w14:textId="10F74D9D" w:rsidR="001647CA" w:rsidRDefault="001647CA" w:rsidP="001647CA">
            <w:pPr>
              <w:pStyle w:val="CommentTabletext"/>
              <w:rPr>
                <w:lang w:eastAsia="en-US"/>
              </w:rPr>
            </w:pPr>
            <w:r w:rsidRPr="00570115">
              <w:rPr>
                <w:lang w:eastAsia="en-US"/>
              </w:rPr>
              <w:t>redacted</w:t>
            </w:r>
          </w:p>
        </w:tc>
        <w:tc>
          <w:tcPr>
            <w:tcW w:w="624" w:type="pct"/>
            <w:tcBorders>
              <w:top w:val="single" w:sz="4" w:space="0" w:color="auto"/>
              <w:left w:val="single" w:sz="4" w:space="0" w:color="auto"/>
              <w:bottom w:val="single" w:sz="4" w:space="0" w:color="auto"/>
              <w:right w:val="single" w:sz="4" w:space="0" w:color="auto"/>
            </w:tcBorders>
            <w:hideMark/>
          </w:tcPr>
          <w:p w14:paraId="701C2B7A" w14:textId="487A864F" w:rsidR="001647CA" w:rsidRDefault="001647CA" w:rsidP="001647CA">
            <w:pPr>
              <w:pStyle w:val="CommentTabletext"/>
              <w:rPr>
                <w:lang w:eastAsia="en-US"/>
              </w:rPr>
            </w:pPr>
            <w:r>
              <w:rPr>
                <w:lang w:eastAsia="en-US"/>
              </w:rPr>
              <w:t>$redacted</w:t>
            </w:r>
          </w:p>
        </w:tc>
      </w:tr>
      <w:tr w:rsidR="001647CA" w14:paraId="59AB26F6" w14:textId="77777777" w:rsidTr="001647CA">
        <w:tc>
          <w:tcPr>
            <w:tcW w:w="275" w:type="pct"/>
            <w:tcBorders>
              <w:top w:val="single" w:sz="4" w:space="0" w:color="auto"/>
              <w:left w:val="single" w:sz="4" w:space="0" w:color="auto"/>
              <w:bottom w:val="single" w:sz="4" w:space="0" w:color="auto"/>
              <w:right w:val="single" w:sz="4" w:space="0" w:color="auto"/>
            </w:tcBorders>
            <w:hideMark/>
          </w:tcPr>
          <w:p w14:paraId="00F99235" w14:textId="77777777" w:rsidR="001647CA" w:rsidRDefault="001647CA" w:rsidP="001647CA">
            <w:pPr>
              <w:pStyle w:val="Tabletext0"/>
              <w:rPr>
                <w:lang w:eastAsia="en-US"/>
              </w:rPr>
            </w:pPr>
            <w:r>
              <w:t>3</w:t>
            </w:r>
          </w:p>
        </w:tc>
        <w:tc>
          <w:tcPr>
            <w:tcW w:w="609" w:type="pct"/>
            <w:tcBorders>
              <w:top w:val="single" w:sz="4" w:space="0" w:color="auto"/>
              <w:left w:val="single" w:sz="4" w:space="0" w:color="auto"/>
              <w:bottom w:val="single" w:sz="4" w:space="0" w:color="auto"/>
              <w:right w:val="single" w:sz="4" w:space="0" w:color="auto"/>
            </w:tcBorders>
            <w:hideMark/>
          </w:tcPr>
          <w:p w14:paraId="016AA79E" w14:textId="77777777" w:rsidR="001647CA" w:rsidRDefault="001647CA" w:rsidP="001647CA">
            <w:pPr>
              <w:pStyle w:val="CommentTabletext"/>
              <w:rPr>
                <w:lang w:eastAsia="en-US"/>
              </w:rPr>
            </w:pPr>
            <w:r>
              <w:rPr>
                <w:lang w:eastAsia="en-US"/>
              </w:rPr>
              <w:t>22.5%</w:t>
            </w:r>
          </w:p>
        </w:tc>
        <w:tc>
          <w:tcPr>
            <w:tcW w:w="607" w:type="pct"/>
            <w:tcBorders>
              <w:top w:val="single" w:sz="4" w:space="0" w:color="auto"/>
              <w:left w:val="single" w:sz="4" w:space="0" w:color="auto"/>
              <w:bottom w:val="single" w:sz="4" w:space="0" w:color="auto"/>
              <w:right w:val="single" w:sz="4" w:space="0" w:color="auto"/>
            </w:tcBorders>
            <w:hideMark/>
          </w:tcPr>
          <w:p w14:paraId="73ACF9E4" w14:textId="77777777" w:rsidR="001647CA" w:rsidRDefault="001647CA" w:rsidP="001647CA">
            <w:pPr>
              <w:pStyle w:val="Tabletext0"/>
              <w:rPr>
                <w:lang w:eastAsia="en-US"/>
              </w:rPr>
            </w:pPr>
            <w:r>
              <w:t>5%</w:t>
            </w:r>
          </w:p>
        </w:tc>
        <w:tc>
          <w:tcPr>
            <w:tcW w:w="764" w:type="pct"/>
            <w:vMerge/>
            <w:tcBorders>
              <w:top w:val="single" w:sz="4" w:space="0" w:color="auto"/>
              <w:left w:val="single" w:sz="4" w:space="0" w:color="auto"/>
              <w:bottom w:val="single" w:sz="4" w:space="0" w:color="auto"/>
              <w:right w:val="single" w:sz="4" w:space="0" w:color="auto"/>
            </w:tcBorders>
            <w:vAlign w:val="center"/>
            <w:hideMark/>
          </w:tcPr>
          <w:p w14:paraId="4DFB8C95" w14:textId="77777777" w:rsidR="001647CA" w:rsidRDefault="001647CA" w:rsidP="001647CA">
            <w:pPr>
              <w:rPr>
                <w:rFonts w:ascii="Arial Narrow" w:hAnsi="Arial Narrow"/>
                <w:sz w:val="20"/>
                <w:szCs w:val="24"/>
                <w:lang w:eastAsia="en-US"/>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464D1F3F" w14:textId="77777777" w:rsidR="001647CA" w:rsidRDefault="001647CA" w:rsidP="001647CA">
            <w:pPr>
              <w:rPr>
                <w:rFonts w:ascii="Arial Narrow" w:hAnsi="Arial Narrow"/>
                <w:sz w:val="20"/>
                <w:szCs w:val="24"/>
                <w:lang w:eastAsia="en-US"/>
              </w:rPr>
            </w:pPr>
          </w:p>
        </w:tc>
        <w:tc>
          <w:tcPr>
            <w:tcW w:w="663" w:type="pct"/>
            <w:tcBorders>
              <w:top w:val="single" w:sz="4" w:space="0" w:color="auto"/>
              <w:left w:val="single" w:sz="4" w:space="0" w:color="auto"/>
              <w:bottom w:val="single" w:sz="4" w:space="0" w:color="auto"/>
              <w:right w:val="single" w:sz="4" w:space="0" w:color="auto"/>
            </w:tcBorders>
            <w:hideMark/>
          </w:tcPr>
          <w:p w14:paraId="17B49C0A" w14:textId="6EB7072F" w:rsidR="001647CA" w:rsidRDefault="001647CA" w:rsidP="001647CA">
            <w:pPr>
              <w:pStyle w:val="CommentTabletext"/>
              <w:rPr>
                <w:lang w:eastAsia="en-US"/>
              </w:rPr>
            </w:pPr>
            <w:r>
              <w:rPr>
                <w:lang w:eastAsia="en-US"/>
              </w:rPr>
              <w:t>$redacted</w:t>
            </w:r>
          </w:p>
        </w:tc>
        <w:tc>
          <w:tcPr>
            <w:tcW w:w="774" w:type="pct"/>
            <w:tcBorders>
              <w:top w:val="single" w:sz="4" w:space="0" w:color="auto"/>
              <w:left w:val="single" w:sz="4" w:space="0" w:color="auto"/>
              <w:bottom w:val="single" w:sz="4" w:space="0" w:color="auto"/>
              <w:right w:val="single" w:sz="4" w:space="0" w:color="auto"/>
            </w:tcBorders>
            <w:hideMark/>
          </w:tcPr>
          <w:p w14:paraId="06D2F18B" w14:textId="52228122" w:rsidR="001647CA" w:rsidRDefault="001647CA" w:rsidP="001647CA">
            <w:pPr>
              <w:pStyle w:val="CommentTabletext"/>
              <w:rPr>
                <w:lang w:eastAsia="en-US"/>
              </w:rPr>
            </w:pPr>
            <w:r w:rsidRPr="00570115">
              <w:rPr>
                <w:lang w:eastAsia="en-US"/>
              </w:rPr>
              <w:t>redacted</w:t>
            </w:r>
          </w:p>
        </w:tc>
        <w:tc>
          <w:tcPr>
            <w:tcW w:w="624" w:type="pct"/>
            <w:tcBorders>
              <w:top w:val="single" w:sz="4" w:space="0" w:color="auto"/>
              <w:left w:val="single" w:sz="4" w:space="0" w:color="auto"/>
              <w:bottom w:val="single" w:sz="4" w:space="0" w:color="auto"/>
              <w:right w:val="single" w:sz="4" w:space="0" w:color="auto"/>
            </w:tcBorders>
            <w:hideMark/>
          </w:tcPr>
          <w:p w14:paraId="65892707" w14:textId="244E2106" w:rsidR="001647CA" w:rsidRDefault="001647CA" w:rsidP="001647CA">
            <w:pPr>
              <w:pStyle w:val="CommentTabletext"/>
              <w:rPr>
                <w:lang w:eastAsia="en-US"/>
              </w:rPr>
            </w:pPr>
            <w:r>
              <w:rPr>
                <w:lang w:eastAsia="en-US"/>
              </w:rPr>
              <w:t>$redacted</w:t>
            </w:r>
          </w:p>
        </w:tc>
      </w:tr>
      <w:tr w:rsidR="0016110F" w14:paraId="7A4FAD54" w14:textId="77777777" w:rsidTr="0016110F">
        <w:tc>
          <w:tcPr>
            <w:tcW w:w="5000" w:type="pct"/>
            <w:gridSpan w:val="8"/>
            <w:tcBorders>
              <w:top w:val="single" w:sz="4" w:space="0" w:color="auto"/>
              <w:left w:val="single" w:sz="4" w:space="0" w:color="auto"/>
              <w:bottom w:val="single" w:sz="4" w:space="0" w:color="auto"/>
              <w:right w:val="single" w:sz="4" w:space="0" w:color="auto"/>
            </w:tcBorders>
          </w:tcPr>
          <w:p w14:paraId="16028908" w14:textId="77777777" w:rsidR="0016110F" w:rsidRPr="00E5606A" w:rsidRDefault="0016110F" w:rsidP="00E5606A">
            <w:pPr>
              <w:pStyle w:val="CommentTabletext"/>
              <w:jc w:val="both"/>
              <w:rPr>
                <w:color w:val="1F497D" w:themeColor="text2"/>
                <w:lang w:eastAsia="en-US"/>
              </w:rPr>
            </w:pPr>
            <w:r w:rsidRPr="00E5606A">
              <w:rPr>
                <w:color w:val="1F497D" w:themeColor="text2"/>
              </w:rPr>
              <w:t xml:space="preserve">Pre-MSAC response (analyses based on </w:t>
            </w:r>
            <w:proofErr w:type="spellStart"/>
            <w:r w:rsidRPr="00E5606A">
              <w:rPr>
                <w:color w:val="1F497D" w:themeColor="text2"/>
              </w:rPr>
              <w:t>Knutsen</w:t>
            </w:r>
            <w:proofErr w:type="spellEnd"/>
            <w:r w:rsidRPr="00E5606A">
              <w:rPr>
                <w:color w:val="1F497D" w:themeColor="text2"/>
              </w:rPr>
              <w:t xml:space="preserve"> 2016) conducted by the Applicant</w:t>
            </w:r>
          </w:p>
        </w:tc>
      </w:tr>
      <w:tr w:rsidR="0016110F" w14:paraId="5043D444" w14:textId="77777777" w:rsidTr="001647CA">
        <w:tc>
          <w:tcPr>
            <w:tcW w:w="275" w:type="pct"/>
            <w:tcBorders>
              <w:top w:val="single" w:sz="4" w:space="0" w:color="auto"/>
              <w:left w:val="single" w:sz="4" w:space="0" w:color="auto"/>
              <w:bottom w:val="single" w:sz="4" w:space="0" w:color="auto"/>
              <w:right w:val="single" w:sz="4" w:space="0" w:color="auto"/>
            </w:tcBorders>
          </w:tcPr>
          <w:p w14:paraId="5DB95CE9" w14:textId="77777777" w:rsidR="0016110F" w:rsidRPr="00E5606A" w:rsidRDefault="0016110F" w:rsidP="00E5606A">
            <w:pPr>
              <w:pStyle w:val="Tabletext0"/>
              <w:jc w:val="both"/>
              <w:rPr>
                <w:color w:val="1F497D" w:themeColor="text2"/>
              </w:rPr>
            </w:pPr>
            <w:r w:rsidRPr="00E5606A">
              <w:rPr>
                <w:color w:val="1F497D" w:themeColor="text2"/>
              </w:rPr>
              <w:t>4</w:t>
            </w:r>
          </w:p>
        </w:tc>
        <w:tc>
          <w:tcPr>
            <w:tcW w:w="609" w:type="pct"/>
            <w:tcBorders>
              <w:top w:val="single" w:sz="4" w:space="0" w:color="auto"/>
              <w:left w:val="single" w:sz="4" w:space="0" w:color="auto"/>
              <w:bottom w:val="single" w:sz="4" w:space="0" w:color="auto"/>
              <w:right w:val="single" w:sz="4" w:space="0" w:color="auto"/>
            </w:tcBorders>
            <w:vAlign w:val="center"/>
          </w:tcPr>
          <w:p w14:paraId="2B2E37FA"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5.0%</w:t>
            </w:r>
          </w:p>
        </w:tc>
        <w:tc>
          <w:tcPr>
            <w:tcW w:w="607" w:type="pct"/>
            <w:tcBorders>
              <w:top w:val="single" w:sz="4" w:space="0" w:color="auto"/>
              <w:left w:val="single" w:sz="4" w:space="0" w:color="auto"/>
              <w:bottom w:val="single" w:sz="4" w:space="0" w:color="auto"/>
              <w:right w:val="single" w:sz="4" w:space="0" w:color="auto"/>
            </w:tcBorders>
            <w:vAlign w:val="center"/>
          </w:tcPr>
          <w:p w14:paraId="272649CA" w14:textId="77777777" w:rsidR="0016110F" w:rsidRPr="00E5606A" w:rsidRDefault="0016110F" w:rsidP="00E5606A">
            <w:pPr>
              <w:pStyle w:val="Tabletext0"/>
              <w:jc w:val="both"/>
              <w:rPr>
                <w:rFonts w:cs="Tahoma"/>
                <w:bCs/>
                <w:color w:val="1F497D" w:themeColor="text2"/>
                <w:szCs w:val="20"/>
              </w:rPr>
            </w:pPr>
            <w:r w:rsidRPr="00E5606A">
              <w:rPr>
                <w:rFonts w:cs="Tahoma"/>
                <w:color w:val="1F497D" w:themeColor="text2"/>
                <w:szCs w:val="20"/>
              </w:rPr>
              <w:t>6.0%</w:t>
            </w:r>
          </w:p>
        </w:tc>
        <w:tc>
          <w:tcPr>
            <w:tcW w:w="764" w:type="pct"/>
            <w:tcBorders>
              <w:top w:val="single" w:sz="4" w:space="0" w:color="auto"/>
              <w:left w:val="single" w:sz="4" w:space="0" w:color="auto"/>
              <w:bottom w:val="nil"/>
              <w:right w:val="single" w:sz="4" w:space="0" w:color="auto"/>
            </w:tcBorders>
            <w:vAlign w:val="center"/>
          </w:tcPr>
          <w:p w14:paraId="02E9874E" w14:textId="77777777" w:rsidR="0016110F" w:rsidRPr="00E5606A" w:rsidRDefault="0016110F" w:rsidP="00E5606A">
            <w:pPr>
              <w:pStyle w:val="Tabletext0"/>
              <w:jc w:val="both"/>
              <w:rPr>
                <w:rFonts w:cs="Tahoma"/>
                <w:bCs/>
                <w:color w:val="1F497D" w:themeColor="text2"/>
                <w:szCs w:val="20"/>
              </w:rPr>
            </w:pPr>
            <w:r w:rsidRPr="00E5606A">
              <w:rPr>
                <w:color w:val="1F497D" w:themeColor="text2"/>
              </w:rPr>
              <w:t>50% MF and 50% TKR †</w:t>
            </w:r>
          </w:p>
        </w:tc>
        <w:tc>
          <w:tcPr>
            <w:tcW w:w="685" w:type="pct"/>
            <w:tcBorders>
              <w:top w:val="single" w:sz="4" w:space="0" w:color="auto"/>
              <w:left w:val="single" w:sz="4" w:space="0" w:color="auto"/>
              <w:bottom w:val="nil"/>
              <w:right w:val="single" w:sz="4" w:space="0" w:color="auto"/>
            </w:tcBorders>
            <w:vAlign w:val="center"/>
          </w:tcPr>
          <w:p w14:paraId="53F8624C" w14:textId="77777777" w:rsidR="0016110F" w:rsidRPr="00E5606A" w:rsidRDefault="0016110F" w:rsidP="00E5606A">
            <w:pPr>
              <w:pStyle w:val="Tabletext0"/>
              <w:jc w:val="both"/>
              <w:rPr>
                <w:rFonts w:cs="Tahoma"/>
                <w:bCs/>
                <w:color w:val="1F497D" w:themeColor="text2"/>
                <w:szCs w:val="20"/>
              </w:rPr>
            </w:pPr>
            <w:r w:rsidRPr="00E5606A">
              <w:rPr>
                <w:rFonts w:cs="Tahoma"/>
                <w:color w:val="1F497D" w:themeColor="text2"/>
                <w:szCs w:val="20"/>
              </w:rPr>
              <w:t>0.85 ‡</w:t>
            </w:r>
          </w:p>
        </w:tc>
        <w:tc>
          <w:tcPr>
            <w:tcW w:w="663" w:type="pct"/>
            <w:tcBorders>
              <w:top w:val="single" w:sz="4" w:space="0" w:color="auto"/>
              <w:left w:val="single" w:sz="4" w:space="0" w:color="auto"/>
              <w:bottom w:val="single" w:sz="4" w:space="0" w:color="auto"/>
              <w:right w:val="single" w:sz="4" w:space="0" w:color="auto"/>
            </w:tcBorders>
            <w:vAlign w:val="center"/>
          </w:tcPr>
          <w:p w14:paraId="7ADFE8D5" w14:textId="31D62027"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c>
          <w:tcPr>
            <w:tcW w:w="774" w:type="pct"/>
            <w:tcBorders>
              <w:top w:val="single" w:sz="4" w:space="0" w:color="auto"/>
              <w:left w:val="single" w:sz="4" w:space="0" w:color="auto"/>
              <w:bottom w:val="single" w:sz="4" w:space="0" w:color="auto"/>
              <w:right w:val="single" w:sz="4" w:space="0" w:color="auto"/>
            </w:tcBorders>
            <w:vAlign w:val="center"/>
          </w:tcPr>
          <w:p w14:paraId="7AF42172"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0.0790</w:t>
            </w:r>
          </w:p>
        </w:tc>
        <w:tc>
          <w:tcPr>
            <w:tcW w:w="624" w:type="pct"/>
            <w:tcBorders>
              <w:top w:val="single" w:sz="4" w:space="0" w:color="auto"/>
              <w:left w:val="single" w:sz="4" w:space="0" w:color="auto"/>
              <w:bottom w:val="single" w:sz="4" w:space="0" w:color="auto"/>
              <w:right w:val="single" w:sz="4" w:space="0" w:color="auto"/>
            </w:tcBorders>
            <w:vAlign w:val="center"/>
          </w:tcPr>
          <w:p w14:paraId="02B40C2D" w14:textId="2E52084E"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r>
      <w:tr w:rsidR="0016110F" w14:paraId="62660CDA" w14:textId="77777777" w:rsidTr="001647CA">
        <w:tc>
          <w:tcPr>
            <w:tcW w:w="275" w:type="pct"/>
            <w:tcBorders>
              <w:top w:val="single" w:sz="4" w:space="0" w:color="auto"/>
              <w:left w:val="single" w:sz="4" w:space="0" w:color="auto"/>
              <w:bottom w:val="single" w:sz="4" w:space="0" w:color="auto"/>
              <w:right w:val="single" w:sz="4" w:space="0" w:color="auto"/>
            </w:tcBorders>
          </w:tcPr>
          <w:p w14:paraId="55331E34" w14:textId="77777777" w:rsidR="0016110F" w:rsidRPr="00E5606A" w:rsidRDefault="0016110F" w:rsidP="00E5606A">
            <w:pPr>
              <w:pStyle w:val="Tabletext0"/>
              <w:jc w:val="both"/>
              <w:rPr>
                <w:color w:val="1F497D" w:themeColor="text2"/>
              </w:rPr>
            </w:pPr>
            <w:r w:rsidRPr="00E5606A">
              <w:rPr>
                <w:color w:val="1F497D" w:themeColor="text2"/>
              </w:rPr>
              <w:t>5</w:t>
            </w:r>
          </w:p>
        </w:tc>
        <w:tc>
          <w:tcPr>
            <w:tcW w:w="609" w:type="pct"/>
            <w:tcBorders>
              <w:top w:val="single" w:sz="4" w:space="0" w:color="auto"/>
              <w:left w:val="single" w:sz="4" w:space="0" w:color="auto"/>
              <w:bottom w:val="single" w:sz="4" w:space="0" w:color="auto"/>
              <w:right w:val="single" w:sz="4" w:space="0" w:color="auto"/>
            </w:tcBorders>
            <w:vAlign w:val="center"/>
          </w:tcPr>
          <w:p w14:paraId="251A9825"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5.6%</w:t>
            </w:r>
          </w:p>
        </w:tc>
        <w:tc>
          <w:tcPr>
            <w:tcW w:w="607" w:type="pct"/>
            <w:tcBorders>
              <w:top w:val="single" w:sz="4" w:space="0" w:color="auto"/>
              <w:left w:val="single" w:sz="4" w:space="0" w:color="auto"/>
              <w:bottom w:val="single" w:sz="4" w:space="0" w:color="auto"/>
              <w:right w:val="single" w:sz="4" w:space="0" w:color="auto"/>
            </w:tcBorders>
            <w:vAlign w:val="center"/>
          </w:tcPr>
          <w:p w14:paraId="084B8276" w14:textId="77777777" w:rsidR="0016110F" w:rsidRPr="00E5606A" w:rsidRDefault="0016110F" w:rsidP="00E5606A">
            <w:pPr>
              <w:pStyle w:val="Tabletext0"/>
              <w:jc w:val="both"/>
              <w:rPr>
                <w:rFonts w:cs="Tahoma"/>
                <w:bCs/>
                <w:color w:val="1F497D" w:themeColor="text2"/>
                <w:szCs w:val="20"/>
              </w:rPr>
            </w:pPr>
            <w:r w:rsidRPr="00E5606A">
              <w:rPr>
                <w:rFonts w:cs="Tahoma"/>
                <w:color w:val="1F497D" w:themeColor="text2"/>
                <w:szCs w:val="20"/>
              </w:rPr>
              <w:t>5.6%</w:t>
            </w:r>
          </w:p>
        </w:tc>
        <w:tc>
          <w:tcPr>
            <w:tcW w:w="764" w:type="pct"/>
            <w:tcBorders>
              <w:top w:val="nil"/>
              <w:left w:val="single" w:sz="4" w:space="0" w:color="auto"/>
              <w:bottom w:val="nil"/>
              <w:right w:val="single" w:sz="4" w:space="0" w:color="auto"/>
            </w:tcBorders>
            <w:vAlign w:val="center"/>
          </w:tcPr>
          <w:p w14:paraId="53D89320" w14:textId="77777777" w:rsidR="0016110F" w:rsidRPr="00E5606A" w:rsidRDefault="0016110F" w:rsidP="00E5606A">
            <w:pPr>
              <w:pStyle w:val="Tabletext0"/>
              <w:jc w:val="both"/>
              <w:rPr>
                <w:rFonts w:cs="Tahoma"/>
                <w:bCs/>
                <w:color w:val="1F497D" w:themeColor="text2"/>
                <w:szCs w:val="20"/>
              </w:rPr>
            </w:pPr>
          </w:p>
        </w:tc>
        <w:tc>
          <w:tcPr>
            <w:tcW w:w="685" w:type="pct"/>
            <w:tcBorders>
              <w:top w:val="nil"/>
              <w:left w:val="single" w:sz="4" w:space="0" w:color="auto"/>
              <w:bottom w:val="nil"/>
              <w:right w:val="single" w:sz="4" w:space="0" w:color="auto"/>
            </w:tcBorders>
            <w:vAlign w:val="center"/>
          </w:tcPr>
          <w:p w14:paraId="36911D8C" w14:textId="77777777" w:rsidR="0016110F" w:rsidRPr="00E5606A" w:rsidRDefault="0016110F" w:rsidP="00E5606A">
            <w:pPr>
              <w:pStyle w:val="Tabletext0"/>
              <w:jc w:val="both"/>
              <w:rPr>
                <w:rFonts w:cs="Tahoma"/>
                <w:bCs/>
                <w:color w:val="1F497D" w:themeColor="text2"/>
                <w:szCs w:val="20"/>
              </w:rPr>
            </w:pPr>
          </w:p>
        </w:tc>
        <w:tc>
          <w:tcPr>
            <w:tcW w:w="663" w:type="pct"/>
            <w:tcBorders>
              <w:top w:val="single" w:sz="4" w:space="0" w:color="auto"/>
              <w:left w:val="single" w:sz="4" w:space="0" w:color="auto"/>
              <w:bottom w:val="single" w:sz="4" w:space="0" w:color="auto"/>
              <w:right w:val="single" w:sz="4" w:space="0" w:color="auto"/>
            </w:tcBorders>
            <w:vAlign w:val="center"/>
          </w:tcPr>
          <w:p w14:paraId="7827656A" w14:textId="60BE5AAF"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c>
          <w:tcPr>
            <w:tcW w:w="774" w:type="pct"/>
            <w:tcBorders>
              <w:top w:val="single" w:sz="4" w:space="0" w:color="auto"/>
              <w:left w:val="single" w:sz="4" w:space="0" w:color="auto"/>
              <w:bottom w:val="single" w:sz="4" w:space="0" w:color="auto"/>
              <w:right w:val="single" w:sz="4" w:space="0" w:color="auto"/>
            </w:tcBorders>
            <w:vAlign w:val="center"/>
          </w:tcPr>
          <w:p w14:paraId="1A6A8062"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0.0774</w:t>
            </w:r>
          </w:p>
        </w:tc>
        <w:tc>
          <w:tcPr>
            <w:tcW w:w="624" w:type="pct"/>
            <w:tcBorders>
              <w:top w:val="single" w:sz="4" w:space="0" w:color="auto"/>
              <w:left w:val="single" w:sz="4" w:space="0" w:color="auto"/>
              <w:bottom w:val="single" w:sz="4" w:space="0" w:color="auto"/>
              <w:right w:val="single" w:sz="4" w:space="0" w:color="auto"/>
            </w:tcBorders>
            <w:vAlign w:val="center"/>
          </w:tcPr>
          <w:p w14:paraId="02CBE03C" w14:textId="7699DB56"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r>
      <w:tr w:rsidR="0016110F" w14:paraId="5595E3E9" w14:textId="77777777" w:rsidTr="001647CA">
        <w:tc>
          <w:tcPr>
            <w:tcW w:w="275" w:type="pct"/>
            <w:tcBorders>
              <w:top w:val="single" w:sz="4" w:space="0" w:color="auto"/>
              <w:left w:val="single" w:sz="4" w:space="0" w:color="auto"/>
              <w:bottom w:val="single" w:sz="4" w:space="0" w:color="auto"/>
              <w:right w:val="single" w:sz="4" w:space="0" w:color="auto"/>
            </w:tcBorders>
          </w:tcPr>
          <w:p w14:paraId="0007E3BD" w14:textId="77777777" w:rsidR="0016110F" w:rsidRPr="00E5606A" w:rsidRDefault="0016110F" w:rsidP="00E5606A">
            <w:pPr>
              <w:pStyle w:val="Tabletext0"/>
              <w:jc w:val="both"/>
              <w:rPr>
                <w:color w:val="1F497D" w:themeColor="text2"/>
              </w:rPr>
            </w:pPr>
            <w:r w:rsidRPr="00E5606A">
              <w:rPr>
                <w:color w:val="1F497D" w:themeColor="text2"/>
              </w:rPr>
              <w:t>6</w:t>
            </w:r>
          </w:p>
        </w:tc>
        <w:tc>
          <w:tcPr>
            <w:tcW w:w="609" w:type="pct"/>
            <w:tcBorders>
              <w:top w:val="single" w:sz="4" w:space="0" w:color="auto"/>
              <w:left w:val="single" w:sz="4" w:space="0" w:color="auto"/>
              <w:bottom w:val="single" w:sz="4" w:space="0" w:color="auto"/>
              <w:right w:val="single" w:sz="4" w:space="0" w:color="auto"/>
            </w:tcBorders>
            <w:vAlign w:val="center"/>
          </w:tcPr>
          <w:p w14:paraId="49B87A4A"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6.8%</w:t>
            </w:r>
          </w:p>
        </w:tc>
        <w:tc>
          <w:tcPr>
            <w:tcW w:w="607" w:type="pct"/>
            <w:tcBorders>
              <w:top w:val="single" w:sz="4" w:space="0" w:color="auto"/>
              <w:left w:val="single" w:sz="4" w:space="0" w:color="auto"/>
              <w:bottom w:val="single" w:sz="4" w:space="0" w:color="auto"/>
              <w:right w:val="single" w:sz="4" w:space="0" w:color="auto"/>
            </w:tcBorders>
            <w:vAlign w:val="center"/>
          </w:tcPr>
          <w:p w14:paraId="45383E4D" w14:textId="77777777" w:rsidR="0016110F" w:rsidRPr="00E5606A" w:rsidRDefault="0016110F" w:rsidP="00E5606A">
            <w:pPr>
              <w:pStyle w:val="Tabletext0"/>
              <w:jc w:val="both"/>
              <w:rPr>
                <w:rFonts w:cs="Tahoma"/>
                <w:bCs/>
                <w:color w:val="1F497D" w:themeColor="text2"/>
                <w:szCs w:val="20"/>
              </w:rPr>
            </w:pPr>
            <w:r w:rsidRPr="00E5606A">
              <w:rPr>
                <w:rFonts w:cs="Tahoma"/>
                <w:color w:val="1F497D" w:themeColor="text2"/>
                <w:szCs w:val="20"/>
              </w:rPr>
              <w:t>5%</w:t>
            </w:r>
          </w:p>
        </w:tc>
        <w:tc>
          <w:tcPr>
            <w:tcW w:w="764" w:type="pct"/>
            <w:tcBorders>
              <w:top w:val="nil"/>
              <w:left w:val="single" w:sz="4" w:space="0" w:color="auto"/>
              <w:bottom w:val="single" w:sz="4" w:space="0" w:color="auto"/>
              <w:right w:val="single" w:sz="4" w:space="0" w:color="auto"/>
            </w:tcBorders>
            <w:vAlign w:val="center"/>
          </w:tcPr>
          <w:p w14:paraId="19BAFA26" w14:textId="77777777" w:rsidR="0016110F" w:rsidRPr="00E5606A" w:rsidRDefault="0016110F" w:rsidP="00E5606A">
            <w:pPr>
              <w:pStyle w:val="Tabletext0"/>
              <w:jc w:val="both"/>
              <w:rPr>
                <w:rFonts w:cs="Tahoma"/>
                <w:bCs/>
                <w:color w:val="1F497D" w:themeColor="text2"/>
                <w:szCs w:val="20"/>
              </w:rPr>
            </w:pPr>
          </w:p>
        </w:tc>
        <w:tc>
          <w:tcPr>
            <w:tcW w:w="685" w:type="pct"/>
            <w:tcBorders>
              <w:top w:val="nil"/>
              <w:left w:val="single" w:sz="4" w:space="0" w:color="auto"/>
              <w:bottom w:val="single" w:sz="4" w:space="0" w:color="auto"/>
              <w:right w:val="single" w:sz="4" w:space="0" w:color="auto"/>
            </w:tcBorders>
            <w:vAlign w:val="center"/>
          </w:tcPr>
          <w:p w14:paraId="351B460B" w14:textId="77777777" w:rsidR="0016110F" w:rsidRPr="00E5606A" w:rsidRDefault="0016110F" w:rsidP="00E5606A">
            <w:pPr>
              <w:pStyle w:val="Tabletext0"/>
              <w:jc w:val="both"/>
              <w:rPr>
                <w:rFonts w:cs="Tahoma"/>
                <w:bCs/>
                <w:color w:val="1F497D" w:themeColor="text2"/>
                <w:szCs w:val="20"/>
              </w:rPr>
            </w:pPr>
          </w:p>
        </w:tc>
        <w:tc>
          <w:tcPr>
            <w:tcW w:w="663" w:type="pct"/>
            <w:tcBorders>
              <w:top w:val="single" w:sz="4" w:space="0" w:color="auto"/>
              <w:left w:val="single" w:sz="4" w:space="0" w:color="auto"/>
              <w:bottom w:val="single" w:sz="4" w:space="0" w:color="auto"/>
              <w:right w:val="single" w:sz="4" w:space="0" w:color="auto"/>
            </w:tcBorders>
            <w:vAlign w:val="center"/>
          </w:tcPr>
          <w:p w14:paraId="725ADD59" w14:textId="0AD40829"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c>
          <w:tcPr>
            <w:tcW w:w="774" w:type="pct"/>
            <w:tcBorders>
              <w:top w:val="single" w:sz="4" w:space="0" w:color="auto"/>
              <w:left w:val="single" w:sz="4" w:space="0" w:color="auto"/>
              <w:bottom w:val="single" w:sz="4" w:space="0" w:color="auto"/>
              <w:right w:val="single" w:sz="4" w:space="0" w:color="auto"/>
            </w:tcBorders>
            <w:vAlign w:val="center"/>
          </w:tcPr>
          <w:p w14:paraId="22EA98DE" w14:textId="77777777" w:rsidR="0016110F" w:rsidRPr="00E5606A" w:rsidRDefault="0016110F" w:rsidP="00E5606A">
            <w:pPr>
              <w:pStyle w:val="CommentTabletext"/>
              <w:jc w:val="both"/>
              <w:rPr>
                <w:i w:val="0"/>
                <w:iCs w:val="0"/>
                <w:color w:val="1F497D" w:themeColor="text2"/>
              </w:rPr>
            </w:pPr>
            <w:r w:rsidRPr="00E5606A">
              <w:rPr>
                <w:i w:val="0"/>
                <w:iCs w:val="0"/>
                <w:color w:val="1F497D" w:themeColor="text2"/>
              </w:rPr>
              <w:t>0.0738</w:t>
            </w:r>
          </w:p>
        </w:tc>
        <w:tc>
          <w:tcPr>
            <w:tcW w:w="624" w:type="pct"/>
            <w:tcBorders>
              <w:top w:val="single" w:sz="4" w:space="0" w:color="auto"/>
              <w:left w:val="single" w:sz="4" w:space="0" w:color="auto"/>
              <w:bottom w:val="single" w:sz="4" w:space="0" w:color="auto"/>
              <w:right w:val="single" w:sz="4" w:space="0" w:color="auto"/>
            </w:tcBorders>
            <w:vAlign w:val="center"/>
          </w:tcPr>
          <w:p w14:paraId="1CF7481B" w14:textId="70CD0843" w:rsidR="0016110F" w:rsidRPr="00E5606A" w:rsidRDefault="0016110F" w:rsidP="001647CA">
            <w:pPr>
              <w:pStyle w:val="CommentTabletext"/>
              <w:jc w:val="both"/>
              <w:rPr>
                <w:i w:val="0"/>
                <w:iCs w:val="0"/>
                <w:color w:val="1F497D" w:themeColor="text2"/>
              </w:rPr>
            </w:pPr>
            <w:r w:rsidRPr="00E5606A">
              <w:rPr>
                <w:i w:val="0"/>
                <w:iCs w:val="0"/>
                <w:color w:val="1F497D" w:themeColor="text2"/>
              </w:rPr>
              <w:t>$</w:t>
            </w:r>
            <w:r w:rsidR="001647CA">
              <w:rPr>
                <w:i w:val="0"/>
                <w:iCs w:val="0"/>
                <w:color w:val="1F497D" w:themeColor="text2"/>
              </w:rPr>
              <w:t>redacted</w:t>
            </w:r>
          </w:p>
        </w:tc>
      </w:tr>
    </w:tbl>
    <w:p w14:paraId="72555302" w14:textId="77777777" w:rsidR="00B13F9D" w:rsidRDefault="00B13F9D" w:rsidP="00B13F9D">
      <w:pPr>
        <w:pStyle w:val="Tablenotes"/>
        <w:rPr>
          <w:lang w:eastAsia="en-US"/>
        </w:rPr>
      </w:pPr>
      <w:r>
        <w:rPr>
          <w:b/>
          <w:bCs/>
        </w:rPr>
        <w:t>Abbreviations</w:t>
      </w:r>
      <w:r>
        <w:t xml:space="preserve">: </w:t>
      </w:r>
      <w:r w:rsidR="00137694" w:rsidRPr="00137694">
        <w:rPr>
          <w:i/>
        </w:rPr>
        <w:t>BC = base case;</w:t>
      </w:r>
      <w:r w:rsidR="00137694">
        <w:t xml:space="preserve"> </w:t>
      </w:r>
      <w:r>
        <w:t>ICER = incremental cost effectiveness ratio; MF = microfracture; QALYs = quality adjusted life years; TKR = total knee replacement</w:t>
      </w:r>
    </w:p>
    <w:p w14:paraId="4E5E6D1C" w14:textId="77777777" w:rsidR="00B13F9D" w:rsidRDefault="00B13F9D" w:rsidP="00B13F9D">
      <w:pPr>
        <w:pStyle w:val="Tablenotes"/>
      </w:pPr>
      <w:r>
        <w:rPr>
          <w:b/>
          <w:bCs/>
        </w:rPr>
        <w:t>Notes</w:t>
      </w:r>
      <w:r>
        <w:t>: † = as per Applicant’s assumption stated on p.103 of the ADAR report</w:t>
      </w:r>
      <w:proofErr w:type="gramStart"/>
      <w:r>
        <w:t>;</w:t>
      </w:r>
      <w:proofErr w:type="gramEnd"/>
      <w:r>
        <w:t xml:space="preserve"> ‡ = as per the Applicant’s assumed rate. This was unaltered.</w:t>
      </w:r>
    </w:p>
    <w:p w14:paraId="178CAEE7" w14:textId="77777777" w:rsidR="00B13F9D" w:rsidRDefault="00B13F9D" w:rsidP="00B13F9D">
      <w:pPr>
        <w:pStyle w:val="Tablenotes"/>
        <w:rPr>
          <w:color w:val="1F497D" w:themeColor="text2"/>
        </w:rPr>
      </w:pPr>
      <w:r>
        <w:t>Source: Table 9, p xxxii of the Commentary</w:t>
      </w:r>
      <w:r w:rsidR="00E5606A">
        <w:t xml:space="preserve"> </w:t>
      </w:r>
      <w:r w:rsidR="00E5606A">
        <w:rPr>
          <w:color w:val="1F497D" w:themeColor="text2"/>
        </w:rPr>
        <w:t>and Table 1, p6 of pre-MSAC response</w:t>
      </w:r>
    </w:p>
    <w:p w14:paraId="0B1EA4B2" w14:textId="74F10A65" w:rsidR="00B13F9D" w:rsidRDefault="00E5606A" w:rsidP="00B13F9D">
      <w:r>
        <w:t xml:space="preserve">In the </w:t>
      </w:r>
      <w:r w:rsidR="00B13F9D">
        <w:t>pre-ESC response, the applicant highlighted that the trial-based cost-effectiveness analysis (ICER = $</w:t>
      </w:r>
      <w:r w:rsidR="001647CA" w:rsidRPr="001647CA">
        <w:rPr>
          <w:b/>
        </w:rPr>
        <w:t>redacted</w:t>
      </w:r>
      <w:r w:rsidR="00B13F9D">
        <w:t xml:space="preserve"> per additional patient with lesion fill response) supports value for money for CARGEL+MF vs. MF.</w:t>
      </w:r>
    </w:p>
    <w:p w14:paraId="05A9276E" w14:textId="4F2C7C84" w:rsidR="00E5606A" w:rsidRDefault="00E5606A" w:rsidP="0095363B">
      <w:pPr>
        <w:spacing w:before="240" w:after="240"/>
      </w:pPr>
      <w:r>
        <w:t>In the pre-MAC response, the applicant performed additional multivariate sensitivity analyses using data from Knutson (2016)</w:t>
      </w:r>
      <w:r w:rsidR="005B77B8">
        <w:rPr>
          <w:rStyle w:val="FootnoteReference"/>
        </w:rPr>
        <w:footnoteReference w:id="9"/>
      </w:r>
      <w:r>
        <w:t>, which was a randomised multicentre trial comparing autologous chondrocyte implantation (ACI) to MF, reporting treatment failure rates at 15</w:t>
      </w:r>
      <w:r w:rsidR="003A77FE">
        <w:t> </w:t>
      </w:r>
      <w:r>
        <w:t xml:space="preserve">years of </w:t>
      </w:r>
      <w:r w:rsidR="00C00028">
        <w:t>17/40 patients (</w:t>
      </w:r>
      <w:r>
        <w:t>42.5%</w:t>
      </w:r>
      <w:r w:rsidR="00C00028">
        <w:t>)</w:t>
      </w:r>
      <w:r>
        <w:t xml:space="preserve"> for ACI and </w:t>
      </w:r>
      <w:r w:rsidR="00C00028">
        <w:t>13/40 (</w:t>
      </w:r>
      <w:r>
        <w:t>32.5%</w:t>
      </w:r>
      <w:r w:rsidR="00C00028">
        <w:t>)</w:t>
      </w:r>
      <w:r>
        <w:t xml:space="preserve"> for MF. </w:t>
      </w:r>
      <w:proofErr w:type="gramStart"/>
      <w:r>
        <w:t>Using this data and assuming exponential use of subsequent treatments, the reintervention rate was estimated at 41% for 20 years for MF</w:t>
      </w:r>
      <w:r>
        <w:rPr>
          <w:rStyle w:val="FootnoteReference"/>
        </w:rPr>
        <w:footnoteReference w:id="10"/>
      </w:r>
      <w:r>
        <w:t xml:space="preserve"> (rather than 56% at 20 years from </w:t>
      </w:r>
      <w:proofErr w:type="spellStart"/>
      <w:r>
        <w:t>Elvidge</w:t>
      </w:r>
      <w:proofErr w:type="spellEnd"/>
      <w:r>
        <w:t xml:space="preserve"> (2016</w:t>
      </w:r>
      <w:r w:rsidR="005B77B8">
        <w:rPr>
          <w:rStyle w:val="FootnoteReference"/>
        </w:rPr>
        <w:footnoteReference w:id="11"/>
      </w:r>
      <w:r>
        <w:t>)</w:t>
      </w:r>
      <w:r w:rsidR="00FF6B98">
        <w:t>, which the applicant considered was not reasonable estimate due to the author’s methodology of estimating the failure rate  of MF with extrapolating parametric survival curves over 20 years (from 5 years clinical data)</w:t>
      </w:r>
      <w:r w:rsidR="00041581">
        <w:t>; and the extrapolations deviate significantly from each other over 20 years (CCI=34%; MF=56%), despite similar rates of failure at 5 years (end of follow-up), approximately 15% (Figure 3)</w:t>
      </w:r>
      <w:r w:rsidR="00FF6B98">
        <w:t>.</w:t>
      </w:r>
      <w:proofErr w:type="gramEnd"/>
      <w:r w:rsidR="0061736F">
        <w:t xml:space="preserve"> </w:t>
      </w:r>
      <w:r w:rsidR="00041581">
        <w:t>In addition</w:t>
      </w:r>
      <w:r w:rsidR="0061736F">
        <w:t xml:space="preserve">, the applicant noted the wide range </w:t>
      </w:r>
      <w:r w:rsidR="006D1571">
        <w:t xml:space="preserve">of retreatment </w:t>
      </w:r>
      <w:r w:rsidR="006D1571">
        <w:lastRenderedPageBreak/>
        <w:t>rates wit</w:t>
      </w:r>
      <w:r w:rsidR="0061736F">
        <w:t>h</w:t>
      </w:r>
      <w:r w:rsidR="006D1571">
        <w:t xml:space="preserve"> </w:t>
      </w:r>
      <w:proofErr w:type="spellStart"/>
      <w:r w:rsidR="0061736F">
        <w:t>heterogenity</w:t>
      </w:r>
      <w:proofErr w:type="spellEnd"/>
      <w:r w:rsidR="0061736F">
        <w:t xml:space="preserve"> in the definition of treatment failure (40% over 10 years [Weber 2018</w:t>
      </w:r>
      <w:r w:rsidR="006D1571">
        <w:rPr>
          <w:rStyle w:val="FootnoteReference"/>
        </w:rPr>
        <w:footnoteReference w:id="12"/>
      </w:r>
      <w:r w:rsidR="0061736F">
        <w:t>], 20% over 5 years [</w:t>
      </w:r>
      <w:proofErr w:type="spellStart"/>
      <w:r w:rsidR="0061736F">
        <w:t>Vanlauwe</w:t>
      </w:r>
      <w:proofErr w:type="spellEnd"/>
      <w:r w:rsidR="0061736F">
        <w:t xml:space="preserve"> 2011</w:t>
      </w:r>
      <w:r w:rsidR="006D1571">
        <w:rPr>
          <w:rStyle w:val="FootnoteReference"/>
        </w:rPr>
        <w:footnoteReference w:id="13"/>
      </w:r>
      <w:r w:rsidR="0061736F">
        <w:t>], 70% at 15 years [</w:t>
      </w:r>
      <w:proofErr w:type="spellStart"/>
      <w:r w:rsidR="0061736F">
        <w:t>Solheim</w:t>
      </w:r>
      <w:proofErr w:type="spellEnd"/>
      <w:r w:rsidR="0061736F">
        <w:t xml:space="preserve"> 2020</w:t>
      </w:r>
      <w:r w:rsidR="00263CC5">
        <w:rPr>
          <w:rStyle w:val="FootnoteReference"/>
        </w:rPr>
        <w:footnoteReference w:id="14"/>
      </w:r>
      <w:r w:rsidR="00263CC5">
        <w:t>]</w:t>
      </w:r>
      <w:r w:rsidR="00AB4339">
        <w:t>).</w:t>
      </w:r>
    </w:p>
    <w:p w14:paraId="455A47DB" w14:textId="77777777" w:rsidR="00041581" w:rsidRDefault="00041581" w:rsidP="00041581">
      <w:pPr>
        <w:keepNext/>
      </w:pPr>
      <w:r>
        <w:rPr>
          <w:noProof/>
        </w:rPr>
        <w:drawing>
          <wp:inline distT="0" distB="0" distL="0" distR="0" wp14:anchorId="1B879AFD" wp14:editId="2CD234FE">
            <wp:extent cx="4352925" cy="3846372"/>
            <wp:effectExtent l="0" t="0" r="0" b="1905"/>
            <wp:docPr id="3" name="Picture 3" descr="Estimation of long-term treatment failure in Elvidg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53125" cy="3846549"/>
                    </a:xfrm>
                    <a:prstGeom prst="rect">
                      <a:avLst/>
                    </a:prstGeom>
                  </pic:spPr>
                </pic:pic>
              </a:graphicData>
            </a:graphic>
          </wp:inline>
        </w:drawing>
      </w:r>
    </w:p>
    <w:p w14:paraId="33836C6F" w14:textId="2C4EF2DA" w:rsidR="00041581" w:rsidRPr="005522F7" w:rsidRDefault="003A77FE" w:rsidP="005522F7">
      <w:pPr>
        <w:rPr>
          <w:rFonts w:ascii="Arial Narrow" w:hAnsi="Arial Narrow"/>
          <w:b/>
          <w:sz w:val="20"/>
        </w:rPr>
      </w:pPr>
      <w:r w:rsidRPr="005522F7">
        <w:rPr>
          <w:rFonts w:ascii="Arial Narrow" w:hAnsi="Arial Narrow"/>
          <w:b/>
          <w:sz w:val="20"/>
        </w:rPr>
        <w:t xml:space="preserve">Figure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Figure \* ARABIC </w:instrText>
      </w:r>
      <w:r w:rsidR="001647CA" w:rsidRPr="005522F7">
        <w:rPr>
          <w:rFonts w:ascii="Arial Narrow" w:hAnsi="Arial Narrow"/>
          <w:b/>
          <w:sz w:val="20"/>
        </w:rPr>
        <w:fldChar w:fldCharType="separate"/>
      </w:r>
      <w:r w:rsidR="0095363B">
        <w:rPr>
          <w:rFonts w:ascii="Arial Narrow" w:hAnsi="Arial Narrow"/>
          <w:b/>
          <w:noProof/>
          <w:sz w:val="20"/>
        </w:rPr>
        <w:t>3</w:t>
      </w:r>
      <w:r w:rsidR="001647CA" w:rsidRPr="005522F7">
        <w:rPr>
          <w:rFonts w:ascii="Arial Narrow" w:hAnsi="Arial Narrow"/>
          <w:b/>
          <w:sz w:val="20"/>
        </w:rPr>
        <w:fldChar w:fldCharType="end"/>
      </w:r>
      <w:r w:rsidR="00041581" w:rsidRPr="005522F7">
        <w:rPr>
          <w:rFonts w:ascii="Arial Narrow" w:hAnsi="Arial Narrow"/>
          <w:b/>
          <w:sz w:val="20"/>
        </w:rPr>
        <w:tab/>
        <w:t xml:space="preserve"> Estimation of long-term treatment failure in </w:t>
      </w:r>
      <w:proofErr w:type="spellStart"/>
      <w:r w:rsidR="00041581" w:rsidRPr="005522F7">
        <w:rPr>
          <w:rFonts w:ascii="Arial Narrow" w:hAnsi="Arial Narrow"/>
          <w:b/>
          <w:sz w:val="20"/>
        </w:rPr>
        <w:t>Elvidge</w:t>
      </w:r>
      <w:proofErr w:type="spellEnd"/>
      <w:r w:rsidR="00041581" w:rsidRPr="005522F7">
        <w:rPr>
          <w:rFonts w:ascii="Arial Narrow" w:hAnsi="Arial Narrow"/>
          <w:b/>
          <w:sz w:val="20"/>
        </w:rPr>
        <w:t xml:space="preserve"> (2016)</w:t>
      </w:r>
    </w:p>
    <w:p w14:paraId="53E3A9ED" w14:textId="43F8B745" w:rsidR="00041581" w:rsidRDefault="00041581" w:rsidP="00AB4339">
      <w:pPr>
        <w:pStyle w:val="Tablenotes1"/>
      </w:pPr>
      <w:r>
        <w:t>Source: Figure 1, p6 of pre-MSAC response</w:t>
      </w:r>
    </w:p>
    <w:p w14:paraId="6A745206" w14:textId="752BEE03" w:rsidR="00292ADD" w:rsidRDefault="00021039" w:rsidP="00AB4339">
      <w:pPr>
        <w:pStyle w:val="Tablenotes1"/>
      </w:pPr>
      <w:r w:rsidRPr="00021039">
        <w:t xml:space="preserve">Reprinted by permission from </w:t>
      </w:r>
      <w:r>
        <w:t>Springer Nature</w:t>
      </w:r>
      <w:r w:rsidRPr="00021039">
        <w:t xml:space="preserve">: </w:t>
      </w:r>
      <w:r w:rsidR="00292ADD">
        <w:t>Springer Nature</w:t>
      </w:r>
      <w:r w:rsidRPr="00021039">
        <w:t xml:space="preserve"> </w:t>
      </w:r>
      <w:r w:rsidR="00292ADD">
        <w:t>PHARMACOECONOMICS</w:t>
      </w:r>
      <w:r w:rsidR="00E02760" w:rsidRPr="005B77B8">
        <w:t>, 34, 1145-1159</w:t>
      </w:r>
      <w:r w:rsidR="00E02760">
        <w:t xml:space="preserve"> </w:t>
      </w:r>
      <w:r w:rsidR="00085D90">
        <w:t>(</w:t>
      </w:r>
      <w:r w:rsidR="00292ADD" w:rsidRPr="00292ADD">
        <w:t>Cost Effectiveness of Characterised Chondrocyte Implantation for Treatment of Cartilage Defects of the Knee in the UK.</w:t>
      </w:r>
      <w:r w:rsidRPr="00021039">
        <w:t xml:space="preserve">, </w:t>
      </w:r>
      <w:proofErr w:type="spellStart"/>
      <w:r w:rsidR="00292ADD" w:rsidRPr="00292ADD">
        <w:t>Elvidge</w:t>
      </w:r>
      <w:proofErr w:type="spellEnd"/>
      <w:r w:rsidR="00292ADD" w:rsidRPr="00292ADD">
        <w:t xml:space="preserve">, J., </w:t>
      </w:r>
      <w:proofErr w:type="spellStart"/>
      <w:r w:rsidR="00292ADD" w:rsidRPr="00292ADD">
        <w:t>Bullement</w:t>
      </w:r>
      <w:proofErr w:type="spellEnd"/>
      <w:r w:rsidR="00292ADD" w:rsidRPr="00292ADD">
        <w:t xml:space="preserve">, A. &amp; </w:t>
      </w:r>
      <w:proofErr w:type="spellStart"/>
      <w:r w:rsidR="00292ADD" w:rsidRPr="00292ADD">
        <w:t>Hatswell</w:t>
      </w:r>
      <w:proofErr w:type="spellEnd"/>
      <w:r w:rsidR="00292ADD" w:rsidRPr="00292ADD">
        <w:t>, A.J.</w:t>
      </w:r>
      <w:r w:rsidR="00085D90">
        <w:t>)</w:t>
      </w:r>
      <w:r w:rsidR="00292ADD">
        <w:t>, COPYRIGHT</w:t>
      </w:r>
      <w:r w:rsidRPr="00021039">
        <w:t xml:space="preserve"> (</w:t>
      </w:r>
      <w:r w:rsidR="00292ADD">
        <w:t>2016</w:t>
      </w:r>
      <w:r w:rsidRPr="00021039">
        <w:t xml:space="preserve">), </w:t>
      </w:r>
      <w:r w:rsidR="00292ADD" w:rsidRPr="00292ADD">
        <w:t xml:space="preserve">advance online publication, </w:t>
      </w:r>
      <w:r w:rsidR="00292ADD">
        <w:t xml:space="preserve">18 June 2016 </w:t>
      </w:r>
      <w:r w:rsidRPr="00021039">
        <w:t>(</w:t>
      </w:r>
      <w:hyperlink r:id="rId21" w:tooltip="Link to article in Pharmacoeconomics" w:history="1">
        <w:r w:rsidR="00292ADD" w:rsidRPr="00DB52FE">
          <w:rPr>
            <w:rStyle w:val="Hyperlink"/>
            <w:rFonts w:cs="Arial"/>
          </w:rPr>
          <w:t>https://doi.org/10.1007/s40273-016-0423-y</w:t>
        </w:r>
      </w:hyperlink>
      <w:r w:rsidR="00E02760">
        <w:t xml:space="preserve">. </w:t>
      </w:r>
      <w:proofErr w:type="spellStart"/>
      <w:r w:rsidR="00E02760" w:rsidRPr="00E02760">
        <w:t>Pharmacoeconomics</w:t>
      </w:r>
      <w:proofErr w:type="spellEnd"/>
      <w:r w:rsidRPr="00021039">
        <w:t>.)</w:t>
      </w:r>
    </w:p>
    <w:p w14:paraId="5FFACD80" w14:textId="77777777" w:rsidR="00BC1364" w:rsidRPr="00F715D1" w:rsidRDefault="00BC1364" w:rsidP="00F715D1">
      <w:pPr>
        <w:pStyle w:val="Heading1"/>
      </w:pPr>
      <w:r w:rsidRPr="00F715D1">
        <w:t>Financial/budgetary impacts</w:t>
      </w:r>
    </w:p>
    <w:p w14:paraId="317B1DE5" w14:textId="3D7C7B5A" w:rsidR="00B13F9D" w:rsidRDefault="00B13F9D" w:rsidP="00B13F9D">
      <w:proofErr w:type="gramStart"/>
      <w:r>
        <w:t>A market share approach was used by the ADAR to estimate the budgetary impact of continued BST-</w:t>
      </w:r>
      <w:proofErr w:type="spellStart"/>
      <w:r>
        <w:t>CarGel</w:t>
      </w:r>
      <w:proofErr w:type="spellEnd"/>
      <w:r>
        <w:t xml:space="preserve"> use via the MBS and Prosthes</w:t>
      </w:r>
      <w:r w:rsidR="001C651D">
        <w:t>e</w:t>
      </w:r>
      <w:r>
        <w:t>s List</w:t>
      </w:r>
      <w:proofErr w:type="gramEnd"/>
      <w:r>
        <w:t>. BST-</w:t>
      </w:r>
      <w:proofErr w:type="spellStart"/>
      <w:r>
        <w:t>CarGel</w:t>
      </w:r>
      <w:proofErr w:type="spellEnd"/>
      <w:r>
        <w:t xml:space="preserve"> has been listed on the Prosthes</w:t>
      </w:r>
      <w:r w:rsidR="001C651D">
        <w:t>e</w:t>
      </w:r>
      <w:r>
        <w:t>s List since August 2015 (Billing Code: SL072); recent utili</w:t>
      </w:r>
      <w:r w:rsidR="003A77FE">
        <w:t>sation data was thus available.</w:t>
      </w:r>
    </w:p>
    <w:p w14:paraId="5D12A3AA" w14:textId="49003E63" w:rsidR="00B13F9D" w:rsidRPr="003A77FE" w:rsidRDefault="00B13F9D" w:rsidP="003A77FE">
      <w:pPr>
        <w:spacing w:before="240"/>
      </w:pPr>
      <w:r>
        <w:t xml:space="preserve">The Commentary stated whilst two distinct patient populations (differentiated by lesion size) were defined in the ratified PICO, a single combined population is considered in the financial analysis </w:t>
      </w:r>
      <w:r>
        <w:rPr>
          <w:rFonts w:cs="Calibri"/>
        </w:rPr>
        <w:t>because confidential Prosthes</w:t>
      </w:r>
      <w:r w:rsidR="001C651D">
        <w:rPr>
          <w:rFonts w:cs="Calibri"/>
        </w:rPr>
        <w:t>e</w:t>
      </w:r>
      <w:r>
        <w:rPr>
          <w:rFonts w:cs="Calibri"/>
        </w:rPr>
        <w:t xml:space="preserve">s List sales data (provided by the Applicant) did not distinguish between the two populations. The Commentary considered the use of a single combined population is appropriate for the financial analysis. The Commentary cited </w:t>
      </w:r>
      <w:r>
        <w:t xml:space="preserve">expert advice, which indicated that most cartilage defects will be </w:t>
      </w:r>
      <w:proofErr w:type="gramStart"/>
      <w:r>
        <w:t>4</w:t>
      </w:r>
      <w:proofErr w:type="gramEnd"/>
      <w:r>
        <w:t xml:space="preserve"> cm</w:t>
      </w:r>
      <w:r>
        <w:rPr>
          <w:vertAlign w:val="superscript"/>
        </w:rPr>
        <w:t>2</w:t>
      </w:r>
      <w:r>
        <w:t xml:space="preserve"> or less and that in the rare </w:t>
      </w:r>
      <w:r>
        <w:lastRenderedPageBreak/>
        <w:t>cases where the defects are larger than this, approaches other than microfracture would likely be selected (Personal commu</w:t>
      </w:r>
      <w:r w:rsidR="003A77FE">
        <w:t>nication, orthopaedic surgeon).</w:t>
      </w:r>
    </w:p>
    <w:p w14:paraId="386F84EB" w14:textId="42AC2B89" w:rsidR="003A77FE" w:rsidRDefault="00B13F9D" w:rsidP="0095363B">
      <w:pPr>
        <w:spacing w:before="240" w:after="240"/>
        <w:jc w:val="both"/>
        <w:rPr>
          <w:iCs/>
        </w:rPr>
      </w:pPr>
      <w:r>
        <w:t>The financial implications to the MBS resulting from the continued listing of BST-</w:t>
      </w:r>
      <w:proofErr w:type="spellStart"/>
      <w:r>
        <w:t>CarGel</w:t>
      </w:r>
      <w:proofErr w:type="spellEnd"/>
      <w:r>
        <w:t xml:space="preserve"> on the MBS and Prosthes</w:t>
      </w:r>
      <w:r w:rsidR="001C651D">
        <w:t>e</w:t>
      </w:r>
      <w:r>
        <w:t xml:space="preserve">s List over the next five years (beginning 2021) are summarised in </w:t>
      </w:r>
      <w:r w:rsidR="003A77FE" w:rsidRPr="0095363B">
        <w:rPr>
          <w:szCs w:val="24"/>
        </w:rPr>
        <w:fldChar w:fldCharType="begin"/>
      </w:r>
      <w:r w:rsidR="003A77FE" w:rsidRPr="0095363B">
        <w:rPr>
          <w:szCs w:val="24"/>
        </w:rPr>
        <w:instrText xml:space="preserve"> REF _Ref36542437 \h </w:instrText>
      </w:r>
      <w:r w:rsidR="0095363B" w:rsidRPr="0095363B">
        <w:rPr>
          <w:szCs w:val="24"/>
        </w:rPr>
        <w:instrText xml:space="preserve"> \* MERGEFORMAT </w:instrText>
      </w:r>
      <w:r w:rsidR="003A77FE" w:rsidRPr="0095363B">
        <w:rPr>
          <w:szCs w:val="24"/>
        </w:rPr>
      </w:r>
      <w:r w:rsidR="003A77FE" w:rsidRPr="0095363B">
        <w:rPr>
          <w:szCs w:val="24"/>
        </w:rPr>
        <w:fldChar w:fldCharType="separate"/>
      </w:r>
      <w:r w:rsidR="0095363B" w:rsidRPr="0095363B">
        <w:rPr>
          <w:szCs w:val="24"/>
        </w:rPr>
        <w:t xml:space="preserve">Table </w:t>
      </w:r>
      <w:r w:rsidR="0095363B" w:rsidRPr="0095363B">
        <w:rPr>
          <w:noProof/>
          <w:szCs w:val="24"/>
        </w:rPr>
        <w:t>9</w:t>
      </w:r>
      <w:r w:rsidR="003A77FE" w:rsidRPr="0095363B">
        <w:rPr>
          <w:szCs w:val="24"/>
        </w:rPr>
        <w:fldChar w:fldCharType="end"/>
      </w:r>
      <w:r w:rsidRPr="0095363B">
        <w:rPr>
          <w:szCs w:val="24"/>
        </w:rPr>
        <w:t xml:space="preserve">. All services contributing to the financial estimates are in-hospital services. </w:t>
      </w:r>
      <w:r w:rsidRPr="0095363B">
        <w:rPr>
          <w:iCs/>
          <w:szCs w:val="24"/>
        </w:rPr>
        <w:t xml:space="preserve">The Commentary updated the financial estimates to include the additional MBS services required in conjunction with the intervention and comparator (anaesthesia and surgical assistance) [displayed in red italic font in </w:t>
      </w:r>
      <w:r w:rsidR="003A77FE" w:rsidRPr="0095363B">
        <w:rPr>
          <w:iCs/>
          <w:szCs w:val="24"/>
        </w:rPr>
        <w:fldChar w:fldCharType="begin"/>
      </w:r>
      <w:r w:rsidR="003A77FE" w:rsidRPr="0095363B">
        <w:rPr>
          <w:iCs/>
          <w:szCs w:val="24"/>
        </w:rPr>
        <w:instrText xml:space="preserve"> REF _Ref36542437 \h </w:instrText>
      </w:r>
      <w:r w:rsidR="0095363B" w:rsidRPr="0095363B">
        <w:rPr>
          <w:iCs/>
          <w:szCs w:val="24"/>
        </w:rPr>
        <w:instrText xml:space="preserve"> \* MERGEFORMAT </w:instrText>
      </w:r>
      <w:r w:rsidR="003A77FE" w:rsidRPr="0095363B">
        <w:rPr>
          <w:iCs/>
          <w:szCs w:val="24"/>
        </w:rPr>
      </w:r>
      <w:r w:rsidR="003A77FE" w:rsidRPr="0095363B">
        <w:rPr>
          <w:iCs/>
          <w:szCs w:val="24"/>
        </w:rPr>
        <w:fldChar w:fldCharType="separate"/>
      </w:r>
      <w:r w:rsidR="0095363B" w:rsidRPr="0095363B">
        <w:rPr>
          <w:szCs w:val="24"/>
        </w:rPr>
        <w:t xml:space="preserve">Table </w:t>
      </w:r>
      <w:r w:rsidR="0095363B" w:rsidRPr="0095363B">
        <w:rPr>
          <w:noProof/>
          <w:szCs w:val="24"/>
        </w:rPr>
        <w:t>9</w:t>
      </w:r>
      <w:r w:rsidR="003A77FE" w:rsidRPr="0095363B">
        <w:rPr>
          <w:iCs/>
          <w:szCs w:val="24"/>
        </w:rPr>
        <w:fldChar w:fldCharType="end"/>
      </w:r>
      <w:r w:rsidRPr="0095363B">
        <w:rPr>
          <w:iCs/>
          <w:szCs w:val="24"/>
        </w:rPr>
        <w:t xml:space="preserve">]. The Commentary considered that the net cost impact of continued </w:t>
      </w:r>
      <w:r>
        <w:rPr>
          <w:iCs/>
        </w:rPr>
        <w:t>BST-</w:t>
      </w:r>
      <w:proofErr w:type="spellStart"/>
      <w:r>
        <w:rPr>
          <w:iCs/>
        </w:rPr>
        <w:t>CarGel</w:t>
      </w:r>
      <w:proofErr w:type="spellEnd"/>
      <w:r>
        <w:rPr>
          <w:iCs/>
        </w:rPr>
        <w:t xml:space="preserve"> reimbursement to the MBS is minimal, and that uncertainty is not a major issue.</w:t>
      </w:r>
    </w:p>
    <w:p w14:paraId="1AD0E777" w14:textId="498F78FD" w:rsidR="00B13F9D" w:rsidRPr="005522F7" w:rsidRDefault="003A77FE" w:rsidP="005522F7">
      <w:pPr>
        <w:rPr>
          <w:rFonts w:ascii="Arial Narrow" w:hAnsi="Arial Narrow"/>
          <w:b/>
          <w:sz w:val="20"/>
        </w:rPr>
      </w:pPr>
      <w:bookmarkStart w:id="19" w:name="_Ref36542437"/>
      <w:r w:rsidRPr="005522F7">
        <w:rPr>
          <w:rFonts w:ascii="Arial Narrow" w:hAnsi="Arial Narrow"/>
          <w:b/>
          <w:sz w:val="20"/>
        </w:rPr>
        <w:t xml:space="preserve">Table </w:t>
      </w:r>
      <w:r w:rsidR="001647CA" w:rsidRPr="005522F7">
        <w:rPr>
          <w:rFonts w:ascii="Arial Narrow" w:hAnsi="Arial Narrow"/>
          <w:b/>
          <w:sz w:val="20"/>
        </w:rPr>
        <w:fldChar w:fldCharType="begin"/>
      </w:r>
      <w:r w:rsidR="001647CA" w:rsidRPr="005522F7">
        <w:rPr>
          <w:rFonts w:ascii="Arial Narrow" w:hAnsi="Arial Narrow"/>
          <w:b/>
          <w:sz w:val="20"/>
        </w:rPr>
        <w:instrText xml:space="preserve"> SEQ Table \* ARABIC </w:instrText>
      </w:r>
      <w:r w:rsidR="001647CA" w:rsidRPr="005522F7">
        <w:rPr>
          <w:rFonts w:ascii="Arial Narrow" w:hAnsi="Arial Narrow"/>
          <w:b/>
          <w:sz w:val="20"/>
        </w:rPr>
        <w:fldChar w:fldCharType="separate"/>
      </w:r>
      <w:r w:rsidR="0095363B">
        <w:rPr>
          <w:rFonts w:ascii="Arial Narrow" w:hAnsi="Arial Narrow"/>
          <w:b/>
          <w:noProof/>
          <w:sz w:val="20"/>
        </w:rPr>
        <w:t>9</w:t>
      </w:r>
      <w:r w:rsidR="001647CA" w:rsidRPr="005522F7">
        <w:rPr>
          <w:rFonts w:ascii="Arial Narrow" w:hAnsi="Arial Narrow"/>
          <w:b/>
          <w:sz w:val="20"/>
        </w:rPr>
        <w:fldChar w:fldCharType="end"/>
      </w:r>
      <w:bookmarkEnd w:id="19"/>
      <w:r w:rsidR="00B13F9D" w:rsidRPr="005522F7">
        <w:rPr>
          <w:rFonts w:ascii="Arial Narrow" w:hAnsi="Arial Narrow"/>
          <w:b/>
          <w:sz w:val="20"/>
        </w:rPr>
        <w:tab/>
        <w:t>Net cost impact to the MBS of continued BST-</w:t>
      </w:r>
      <w:proofErr w:type="spellStart"/>
      <w:r w:rsidR="00B13F9D" w:rsidRPr="005522F7">
        <w:rPr>
          <w:rFonts w:ascii="Arial Narrow" w:hAnsi="Arial Narrow"/>
          <w:b/>
          <w:sz w:val="20"/>
        </w:rPr>
        <w:t>CarGel</w:t>
      </w:r>
      <w:proofErr w:type="spellEnd"/>
      <w:r w:rsidR="00B13F9D" w:rsidRPr="005522F7">
        <w:rPr>
          <w:rFonts w:ascii="Arial Narrow" w:hAnsi="Arial Narrow"/>
          <w:b/>
          <w:sz w:val="20"/>
        </w:rPr>
        <w:t xml:space="preserve"> reimbursement</w:t>
      </w:r>
    </w:p>
    <w:tbl>
      <w:tblPr>
        <w:tblStyle w:val="TableGrid"/>
        <w:tblW w:w="5000" w:type="pct"/>
        <w:tblCellMar>
          <w:left w:w="28" w:type="dxa"/>
          <w:right w:w="28" w:type="dxa"/>
        </w:tblCellMar>
        <w:tblLook w:val="04A0" w:firstRow="1" w:lastRow="0" w:firstColumn="1" w:lastColumn="0" w:noHBand="0" w:noVBand="1"/>
        <w:tblCaption w:val="Table 9 Net cost impact to the MBS of continued BST-CarGel reimbursement"/>
      </w:tblPr>
      <w:tblGrid>
        <w:gridCol w:w="663"/>
        <w:gridCol w:w="1929"/>
        <w:gridCol w:w="1067"/>
        <w:gridCol w:w="1057"/>
        <w:gridCol w:w="1057"/>
        <w:gridCol w:w="1057"/>
        <w:gridCol w:w="1057"/>
        <w:gridCol w:w="1129"/>
      </w:tblGrid>
      <w:tr w:rsidR="00B13F9D" w14:paraId="0A87AE4D" w14:textId="77777777" w:rsidTr="00F058C7">
        <w:trPr>
          <w:tblHeader/>
        </w:trPr>
        <w:tc>
          <w:tcPr>
            <w:tcW w:w="367" w:type="pct"/>
            <w:tcBorders>
              <w:top w:val="single" w:sz="4" w:space="0" w:color="auto"/>
              <w:left w:val="single" w:sz="4" w:space="0" w:color="auto"/>
              <w:bottom w:val="single" w:sz="4" w:space="0" w:color="auto"/>
              <w:right w:val="single" w:sz="4" w:space="0" w:color="auto"/>
            </w:tcBorders>
            <w:hideMark/>
          </w:tcPr>
          <w:p w14:paraId="5B4C7940" w14:textId="77777777" w:rsidR="00B13F9D" w:rsidRDefault="00B13F9D">
            <w:pPr>
              <w:pStyle w:val="Tabletext0"/>
              <w:rPr>
                <w:b/>
                <w:bCs/>
              </w:rPr>
            </w:pPr>
            <w:r>
              <w:rPr>
                <w:b/>
                <w:bCs/>
              </w:rPr>
              <w:t>Row</w:t>
            </w:r>
          </w:p>
        </w:tc>
        <w:tc>
          <w:tcPr>
            <w:tcW w:w="1070" w:type="pct"/>
            <w:tcBorders>
              <w:top w:val="single" w:sz="4" w:space="0" w:color="auto"/>
              <w:left w:val="single" w:sz="4" w:space="0" w:color="auto"/>
              <w:bottom w:val="single" w:sz="4" w:space="0" w:color="auto"/>
              <w:right w:val="single" w:sz="4" w:space="0" w:color="auto"/>
            </w:tcBorders>
            <w:hideMark/>
          </w:tcPr>
          <w:p w14:paraId="1FD46EDC" w14:textId="77777777" w:rsidR="00B13F9D" w:rsidRDefault="00B13F9D">
            <w:pPr>
              <w:pStyle w:val="Tabletext0"/>
              <w:rPr>
                <w:b/>
                <w:bCs/>
              </w:rPr>
            </w:pPr>
            <w:r>
              <w:rPr>
                <w:b/>
                <w:bCs/>
              </w:rPr>
              <w:t>Parameter</w:t>
            </w:r>
          </w:p>
        </w:tc>
        <w:tc>
          <w:tcPr>
            <w:tcW w:w="592" w:type="pct"/>
            <w:tcBorders>
              <w:top w:val="single" w:sz="4" w:space="0" w:color="auto"/>
              <w:left w:val="single" w:sz="4" w:space="0" w:color="auto"/>
              <w:bottom w:val="single" w:sz="4" w:space="0" w:color="auto"/>
              <w:right w:val="single" w:sz="4" w:space="0" w:color="auto"/>
            </w:tcBorders>
            <w:hideMark/>
          </w:tcPr>
          <w:p w14:paraId="33ADA2E6" w14:textId="77777777" w:rsidR="00B13F9D" w:rsidRDefault="00B13F9D">
            <w:pPr>
              <w:pStyle w:val="Tabletext0"/>
              <w:rPr>
                <w:b/>
                <w:bCs/>
              </w:rPr>
            </w:pPr>
            <w:r>
              <w:rPr>
                <w:b/>
                <w:bCs/>
              </w:rPr>
              <w:t>Year 1</w:t>
            </w:r>
          </w:p>
        </w:tc>
        <w:tc>
          <w:tcPr>
            <w:tcW w:w="586" w:type="pct"/>
            <w:tcBorders>
              <w:top w:val="single" w:sz="4" w:space="0" w:color="auto"/>
              <w:left w:val="single" w:sz="4" w:space="0" w:color="auto"/>
              <w:bottom w:val="single" w:sz="4" w:space="0" w:color="auto"/>
              <w:right w:val="single" w:sz="4" w:space="0" w:color="auto"/>
            </w:tcBorders>
            <w:hideMark/>
          </w:tcPr>
          <w:p w14:paraId="274F1524" w14:textId="77777777" w:rsidR="00B13F9D" w:rsidRDefault="00B13F9D">
            <w:pPr>
              <w:pStyle w:val="Tabletext0"/>
              <w:rPr>
                <w:b/>
                <w:bCs/>
              </w:rPr>
            </w:pPr>
            <w:r>
              <w:rPr>
                <w:b/>
                <w:bCs/>
              </w:rPr>
              <w:t>Year 2</w:t>
            </w:r>
          </w:p>
        </w:tc>
        <w:tc>
          <w:tcPr>
            <w:tcW w:w="586" w:type="pct"/>
            <w:tcBorders>
              <w:top w:val="single" w:sz="4" w:space="0" w:color="auto"/>
              <w:left w:val="single" w:sz="4" w:space="0" w:color="auto"/>
              <w:bottom w:val="single" w:sz="4" w:space="0" w:color="auto"/>
              <w:right w:val="single" w:sz="4" w:space="0" w:color="auto"/>
            </w:tcBorders>
            <w:hideMark/>
          </w:tcPr>
          <w:p w14:paraId="1FEAD9C6" w14:textId="77777777" w:rsidR="00B13F9D" w:rsidRDefault="00B13F9D">
            <w:pPr>
              <w:pStyle w:val="Tabletext0"/>
              <w:rPr>
                <w:b/>
                <w:bCs/>
              </w:rPr>
            </w:pPr>
            <w:r>
              <w:rPr>
                <w:b/>
                <w:bCs/>
              </w:rPr>
              <w:t>Year 3</w:t>
            </w:r>
          </w:p>
        </w:tc>
        <w:tc>
          <w:tcPr>
            <w:tcW w:w="586" w:type="pct"/>
            <w:tcBorders>
              <w:top w:val="single" w:sz="4" w:space="0" w:color="auto"/>
              <w:left w:val="single" w:sz="4" w:space="0" w:color="auto"/>
              <w:bottom w:val="single" w:sz="4" w:space="0" w:color="auto"/>
              <w:right w:val="single" w:sz="4" w:space="0" w:color="auto"/>
            </w:tcBorders>
            <w:hideMark/>
          </w:tcPr>
          <w:p w14:paraId="0FB156A7" w14:textId="77777777" w:rsidR="00B13F9D" w:rsidRDefault="00B13F9D">
            <w:pPr>
              <w:pStyle w:val="Tabletext0"/>
              <w:rPr>
                <w:b/>
                <w:bCs/>
              </w:rPr>
            </w:pPr>
            <w:r>
              <w:rPr>
                <w:b/>
                <w:bCs/>
              </w:rPr>
              <w:t>Year 4</w:t>
            </w:r>
          </w:p>
        </w:tc>
        <w:tc>
          <w:tcPr>
            <w:tcW w:w="586" w:type="pct"/>
            <w:tcBorders>
              <w:top w:val="single" w:sz="4" w:space="0" w:color="auto"/>
              <w:left w:val="single" w:sz="4" w:space="0" w:color="auto"/>
              <w:bottom w:val="single" w:sz="4" w:space="0" w:color="auto"/>
              <w:right w:val="single" w:sz="4" w:space="0" w:color="auto"/>
            </w:tcBorders>
            <w:hideMark/>
          </w:tcPr>
          <w:p w14:paraId="2155F05A" w14:textId="77777777" w:rsidR="00B13F9D" w:rsidRDefault="00B13F9D">
            <w:pPr>
              <w:pStyle w:val="Tabletext0"/>
              <w:rPr>
                <w:b/>
                <w:bCs/>
              </w:rPr>
            </w:pPr>
            <w:r>
              <w:rPr>
                <w:b/>
                <w:bCs/>
              </w:rPr>
              <w:t>Year 5</w:t>
            </w:r>
          </w:p>
        </w:tc>
        <w:tc>
          <w:tcPr>
            <w:tcW w:w="626" w:type="pct"/>
            <w:tcBorders>
              <w:top w:val="single" w:sz="4" w:space="0" w:color="auto"/>
              <w:left w:val="single" w:sz="4" w:space="0" w:color="auto"/>
              <w:bottom w:val="single" w:sz="4" w:space="0" w:color="auto"/>
              <w:right w:val="single" w:sz="4" w:space="0" w:color="auto"/>
            </w:tcBorders>
            <w:hideMark/>
          </w:tcPr>
          <w:p w14:paraId="78F2828F" w14:textId="77777777" w:rsidR="00B13F9D" w:rsidRDefault="00B13F9D">
            <w:pPr>
              <w:pStyle w:val="Tabletext0"/>
              <w:rPr>
                <w:b/>
                <w:bCs/>
              </w:rPr>
            </w:pPr>
            <w:r>
              <w:rPr>
                <w:b/>
                <w:bCs/>
              </w:rPr>
              <w:t>Source</w:t>
            </w:r>
          </w:p>
        </w:tc>
      </w:tr>
      <w:tr w:rsidR="00F058C7" w14:paraId="0625AB3E"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12366750" w14:textId="77777777" w:rsidR="00F058C7" w:rsidRDefault="00F058C7" w:rsidP="00F058C7">
            <w:pPr>
              <w:pStyle w:val="Tabletext0"/>
            </w:pPr>
            <w:r>
              <w:t>A</w:t>
            </w:r>
          </w:p>
        </w:tc>
        <w:tc>
          <w:tcPr>
            <w:tcW w:w="1070" w:type="pct"/>
            <w:tcBorders>
              <w:top w:val="single" w:sz="4" w:space="0" w:color="auto"/>
              <w:left w:val="single" w:sz="4" w:space="0" w:color="auto"/>
              <w:bottom w:val="single" w:sz="4" w:space="0" w:color="auto"/>
              <w:right w:val="single" w:sz="4" w:space="0" w:color="auto"/>
            </w:tcBorders>
            <w:hideMark/>
          </w:tcPr>
          <w:p w14:paraId="4C262966" w14:textId="77777777" w:rsidR="00F058C7" w:rsidRDefault="00F058C7" w:rsidP="00F058C7">
            <w:pPr>
              <w:pStyle w:val="Tabletext0"/>
            </w:pPr>
            <w:r>
              <w:t>Patient (service) number</w:t>
            </w:r>
          </w:p>
        </w:tc>
        <w:tc>
          <w:tcPr>
            <w:tcW w:w="592" w:type="pct"/>
            <w:tcBorders>
              <w:top w:val="single" w:sz="4" w:space="0" w:color="auto"/>
              <w:left w:val="single" w:sz="4" w:space="0" w:color="auto"/>
              <w:bottom w:val="single" w:sz="4" w:space="0" w:color="auto"/>
              <w:right w:val="single" w:sz="4" w:space="0" w:color="auto"/>
            </w:tcBorders>
            <w:hideMark/>
          </w:tcPr>
          <w:p w14:paraId="6F0F16E0" w14:textId="284F2A0B" w:rsidR="00F058C7" w:rsidRPr="00146253" w:rsidRDefault="00F058C7" w:rsidP="00F058C7">
            <w:pPr>
              <w:pStyle w:val="Tabletext0"/>
            </w:pPr>
            <w:r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30ED9400" w14:textId="0534ABC6" w:rsidR="00F058C7" w:rsidRPr="00146253" w:rsidRDefault="00F058C7" w:rsidP="00F058C7">
            <w:pPr>
              <w:pStyle w:val="Tabletext0"/>
            </w:pPr>
            <w:r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25538AF6" w14:textId="07A4109C" w:rsidR="00F058C7" w:rsidRPr="00146253" w:rsidRDefault="00F058C7" w:rsidP="00F058C7">
            <w:pPr>
              <w:pStyle w:val="Tabletext0"/>
            </w:pPr>
            <w:r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1106B35F" w14:textId="5DEEDC95" w:rsidR="00F058C7" w:rsidRPr="00146253" w:rsidRDefault="00F058C7" w:rsidP="00F058C7">
            <w:pPr>
              <w:pStyle w:val="Tabletext0"/>
            </w:pPr>
            <w:r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491BF93C" w14:textId="61D2262C" w:rsidR="00F058C7" w:rsidRPr="00146253" w:rsidRDefault="00F058C7" w:rsidP="00F058C7">
            <w:pPr>
              <w:pStyle w:val="Tabletext0"/>
            </w:pPr>
            <w:r w:rsidRPr="00146253">
              <w:t>Redacted</w:t>
            </w:r>
          </w:p>
        </w:tc>
        <w:tc>
          <w:tcPr>
            <w:tcW w:w="626" w:type="pct"/>
            <w:tcBorders>
              <w:top w:val="single" w:sz="4" w:space="0" w:color="auto"/>
              <w:left w:val="single" w:sz="4" w:space="0" w:color="auto"/>
              <w:bottom w:val="single" w:sz="4" w:space="0" w:color="auto"/>
              <w:right w:val="single" w:sz="4" w:space="0" w:color="auto"/>
            </w:tcBorders>
            <w:hideMark/>
          </w:tcPr>
          <w:p w14:paraId="513555B4" w14:textId="77777777" w:rsidR="00F058C7" w:rsidRDefault="00F058C7" w:rsidP="00F058C7">
            <w:pPr>
              <w:pStyle w:val="Tabletext0"/>
            </w:pPr>
            <w:r>
              <w:t>Table 89 of Commentary</w:t>
            </w:r>
          </w:p>
        </w:tc>
      </w:tr>
      <w:tr w:rsidR="00B13F9D" w14:paraId="13C68780" w14:textId="77777777" w:rsidTr="00F058C7">
        <w:tc>
          <w:tcPr>
            <w:tcW w:w="367" w:type="pct"/>
            <w:tcBorders>
              <w:top w:val="single" w:sz="4" w:space="0" w:color="auto"/>
              <w:left w:val="single" w:sz="4" w:space="0" w:color="auto"/>
              <w:bottom w:val="single" w:sz="4" w:space="0" w:color="auto"/>
              <w:right w:val="nil"/>
            </w:tcBorders>
          </w:tcPr>
          <w:p w14:paraId="6E271C9F" w14:textId="77777777" w:rsidR="00B13F9D" w:rsidRDefault="00B13F9D">
            <w:pPr>
              <w:pStyle w:val="Tabletext0"/>
            </w:pPr>
          </w:p>
        </w:tc>
        <w:tc>
          <w:tcPr>
            <w:tcW w:w="1070" w:type="pct"/>
            <w:tcBorders>
              <w:top w:val="single" w:sz="4" w:space="0" w:color="auto"/>
              <w:left w:val="nil"/>
              <w:bottom w:val="single" w:sz="4" w:space="0" w:color="auto"/>
              <w:right w:val="nil"/>
            </w:tcBorders>
            <w:hideMark/>
          </w:tcPr>
          <w:p w14:paraId="6D81FB51" w14:textId="77777777" w:rsidR="00B13F9D" w:rsidRDefault="00B13F9D">
            <w:pPr>
              <w:pStyle w:val="Tabletext0"/>
            </w:pPr>
            <w:r>
              <w:rPr>
                <w:u w:val="single"/>
              </w:rPr>
              <w:t>Scenario</w:t>
            </w:r>
            <w:r>
              <w:t>: continuing funding for BST-</w:t>
            </w:r>
            <w:proofErr w:type="spellStart"/>
            <w:r>
              <w:t>CarGel</w:t>
            </w:r>
            <w:proofErr w:type="spellEnd"/>
            <w:r>
              <w:t xml:space="preserve"> </w:t>
            </w:r>
          </w:p>
        </w:tc>
        <w:tc>
          <w:tcPr>
            <w:tcW w:w="592" w:type="pct"/>
            <w:tcBorders>
              <w:top w:val="single" w:sz="4" w:space="0" w:color="auto"/>
              <w:left w:val="nil"/>
              <w:bottom w:val="single" w:sz="4" w:space="0" w:color="auto"/>
              <w:right w:val="nil"/>
            </w:tcBorders>
          </w:tcPr>
          <w:p w14:paraId="2E93407F" w14:textId="77777777" w:rsidR="00B13F9D" w:rsidRDefault="00B13F9D">
            <w:pPr>
              <w:pStyle w:val="Tabletext0"/>
            </w:pPr>
          </w:p>
        </w:tc>
        <w:tc>
          <w:tcPr>
            <w:tcW w:w="586" w:type="pct"/>
            <w:tcBorders>
              <w:top w:val="single" w:sz="4" w:space="0" w:color="auto"/>
              <w:left w:val="nil"/>
              <w:bottom w:val="single" w:sz="4" w:space="0" w:color="auto"/>
              <w:right w:val="nil"/>
            </w:tcBorders>
          </w:tcPr>
          <w:p w14:paraId="621E1B88" w14:textId="77777777" w:rsidR="00B13F9D" w:rsidRDefault="00B13F9D">
            <w:pPr>
              <w:pStyle w:val="Tabletext0"/>
            </w:pPr>
          </w:p>
        </w:tc>
        <w:tc>
          <w:tcPr>
            <w:tcW w:w="586" w:type="pct"/>
            <w:tcBorders>
              <w:top w:val="single" w:sz="4" w:space="0" w:color="auto"/>
              <w:left w:val="nil"/>
              <w:bottom w:val="single" w:sz="4" w:space="0" w:color="auto"/>
              <w:right w:val="nil"/>
            </w:tcBorders>
          </w:tcPr>
          <w:p w14:paraId="3813109D" w14:textId="77777777" w:rsidR="00B13F9D" w:rsidRDefault="00B13F9D">
            <w:pPr>
              <w:pStyle w:val="Tabletext0"/>
            </w:pPr>
          </w:p>
        </w:tc>
        <w:tc>
          <w:tcPr>
            <w:tcW w:w="586" w:type="pct"/>
            <w:tcBorders>
              <w:top w:val="single" w:sz="4" w:space="0" w:color="auto"/>
              <w:left w:val="nil"/>
              <w:bottom w:val="single" w:sz="4" w:space="0" w:color="auto"/>
              <w:right w:val="nil"/>
            </w:tcBorders>
          </w:tcPr>
          <w:p w14:paraId="4E713991" w14:textId="77777777" w:rsidR="00B13F9D" w:rsidRDefault="00B13F9D">
            <w:pPr>
              <w:pStyle w:val="Tabletext0"/>
            </w:pPr>
          </w:p>
        </w:tc>
        <w:tc>
          <w:tcPr>
            <w:tcW w:w="586" w:type="pct"/>
            <w:tcBorders>
              <w:top w:val="single" w:sz="4" w:space="0" w:color="auto"/>
              <w:left w:val="nil"/>
              <w:bottom w:val="single" w:sz="4" w:space="0" w:color="auto"/>
              <w:right w:val="nil"/>
            </w:tcBorders>
          </w:tcPr>
          <w:p w14:paraId="68BA440B" w14:textId="77777777" w:rsidR="00B13F9D" w:rsidRDefault="00B13F9D">
            <w:pPr>
              <w:pStyle w:val="Tabletext0"/>
            </w:pPr>
          </w:p>
        </w:tc>
        <w:tc>
          <w:tcPr>
            <w:tcW w:w="626" w:type="pct"/>
            <w:tcBorders>
              <w:top w:val="single" w:sz="4" w:space="0" w:color="auto"/>
              <w:left w:val="nil"/>
              <w:bottom w:val="single" w:sz="4" w:space="0" w:color="auto"/>
              <w:right w:val="single" w:sz="4" w:space="0" w:color="auto"/>
            </w:tcBorders>
          </w:tcPr>
          <w:p w14:paraId="4CD14811" w14:textId="77777777" w:rsidR="00B13F9D" w:rsidRDefault="00B13F9D">
            <w:pPr>
              <w:pStyle w:val="Tabletext0"/>
            </w:pPr>
          </w:p>
        </w:tc>
      </w:tr>
      <w:tr w:rsidR="00B13F9D" w14:paraId="61ED80B3"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4248EC60" w14:textId="77777777" w:rsidR="00B13F9D" w:rsidRDefault="00B13F9D">
            <w:pPr>
              <w:pStyle w:val="Tabletext0"/>
            </w:pPr>
            <w:r>
              <w:t>B</w:t>
            </w:r>
          </w:p>
        </w:tc>
        <w:tc>
          <w:tcPr>
            <w:tcW w:w="1070" w:type="pct"/>
            <w:tcBorders>
              <w:top w:val="single" w:sz="4" w:space="0" w:color="auto"/>
              <w:left w:val="single" w:sz="4" w:space="0" w:color="auto"/>
              <w:bottom w:val="single" w:sz="4" w:space="0" w:color="auto"/>
              <w:right w:val="single" w:sz="4" w:space="0" w:color="auto"/>
            </w:tcBorders>
            <w:hideMark/>
          </w:tcPr>
          <w:p w14:paraId="02A10588" w14:textId="77777777" w:rsidR="00B13F9D" w:rsidRDefault="00B13F9D">
            <w:pPr>
              <w:pStyle w:val="Tabletext0"/>
            </w:pPr>
            <w:r>
              <w:t>Cost of procedure</w:t>
            </w:r>
          </w:p>
        </w:tc>
        <w:tc>
          <w:tcPr>
            <w:tcW w:w="592" w:type="pct"/>
            <w:tcBorders>
              <w:top w:val="single" w:sz="4" w:space="0" w:color="auto"/>
              <w:left w:val="single" w:sz="4" w:space="0" w:color="auto"/>
              <w:bottom w:val="single" w:sz="4" w:space="0" w:color="auto"/>
              <w:right w:val="single" w:sz="4" w:space="0" w:color="auto"/>
            </w:tcBorders>
            <w:hideMark/>
          </w:tcPr>
          <w:p w14:paraId="765DE009" w14:textId="281231CD"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0A68AADE" w14:textId="0AB0AC1B"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6C6FB8EC" w14:textId="74604110"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1516315E" w14:textId="5D203C39"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0F70B1E7" w14:textId="47517BC3" w:rsidR="00B13F9D" w:rsidRPr="00146253" w:rsidRDefault="00B13F9D">
            <w:pPr>
              <w:pStyle w:val="Tabletext0"/>
            </w:pPr>
            <w:r w:rsidRPr="00146253">
              <w:t>$</w:t>
            </w:r>
            <w:r w:rsidR="00F058C7" w:rsidRPr="00146253">
              <w:t>redacted</w:t>
            </w:r>
          </w:p>
        </w:tc>
        <w:tc>
          <w:tcPr>
            <w:tcW w:w="626" w:type="pct"/>
            <w:tcBorders>
              <w:top w:val="single" w:sz="4" w:space="0" w:color="auto"/>
              <w:left w:val="single" w:sz="4" w:space="0" w:color="auto"/>
              <w:bottom w:val="single" w:sz="4" w:space="0" w:color="auto"/>
              <w:right w:val="single" w:sz="4" w:space="0" w:color="auto"/>
            </w:tcBorders>
            <w:hideMark/>
          </w:tcPr>
          <w:p w14:paraId="71659AB8" w14:textId="77777777" w:rsidR="00B13F9D" w:rsidRDefault="00B13F9D">
            <w:pPr>
              <w:pStyle w:val="Tabletext0"/>
            </w:pPr>
            <w:r>
              <w:t>Table 90 of Commentary</w:t>
            </w:r>
          </w:p>
        </w:tc>
      </w:tr>
      <w:tr w:rsidR="00B13F9D" w14:paraId="2E784DF7"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6F6F369B" w14:textId="77777777" w:rsidR="00B13F9D" w:rsidRDefault="00B13F9D">
            <w:pPr>
              <w:pStyle w:val="Tabletext0"/>
            </w:pPr>
            <w:r>
              <w:t>C</w:t>
            </w:r>
          </w:p>
        </w:tc>
        <w:tc>
          <w:tcPr>
            <w:tcW w:w="1070" w:type="pct"/>
            <w:tcBorders>
              <w:top w:val="single" w:sz="4" w:space="0" w:color="auto"/>
              <w:left w:val="single" w:sz="4" w:space="0" w:color="auto"/>
              <w:bottom w:val="single" w:sz="4" w:space="0" w:color="auto"/>
              <w:right w:val="single" w:sz="4" w:space="0" w:color="auto"/>
            </w:tcBorders>
            <w:hideMark/>
          </w:tcPr>
          <w:p w14:paraId="188EC183" w14:textId="77777777" w:rsidR="00B13F9D" w:rsidRDefault="00B13F9D">
            <w:pPr>
              <w:pStyle w:val="Tabletext0"/>
            </w:pPr>
            <w:r>
              <w:t xml:space="preserve">Cost of associated services </w:t>
            </w:r>
          </w:p>
        </w:tc>
        <w:tc>
          <w:tcPr>
            <w:tcW w:w="592" w:type="pct"/>
            <w:tcBorders>
              <w:top w:val="single" w:sz="4" w:space="0" w:color="auto"/>
              <w:left w:val="single" w:sz="4" w:space="0" w:color="auto"/>
              <w:bottom w:val="single" w:sz="4" w:space="0" w:color="auto"/>
              <w:right w:val="single" w:sz="4" w:space="0" w:color="auto"/>
            </w:tcBorders>
            <w:hideMark/>
          </w:tcPr>
          <w:p w14:paraId="37A272F7" w14:textId="77777777" w:rsidR="00B13F9D" w:rsidRDefault="00B13F9D">
            <w:pPr>
              <w:pStyle w:val="Tabletext0"/>
              <w:rPr>
                <w:i/>
                <w:color w:val="C00000"/>
              </w:rPr>
            </w:pPr>
            <w:r>
              <w:rPr>
                <w:i/>
                <w:color w:val="C00000"/>
              </w:rPr>
              <w:t>$43,641</w:t>
            </w:r>
          </w:p>
        </w:tc>
        <w:tc>
          <w:tcPr>
            <w:tcW w:w="586" w:type="pct"/>
            <w:tcBorders>
              <w:top w:val="single" w:sz="4" w:space="0" w:color="auto"/>
              <w:left w:val="single" w:sz="4" w:space="0" w:color="auto"/>
              <w:bottom w:val="single" w:sz="4" w:space="0" w:color="auto"/>
              <w:right w:val="single" w:sz="4" w:space="0" w:color="auto"/>
            </w:tcBorders>
            <w:hideMark/>
          </w:tcPr>
          <w:p w14:paraId="6E21464B" w14:textId="77777777" w:rsidR="00B13F9D" w:rsidRDefault="00B13F9D">
            <w:pPr>
              <w:pStyle w:val="Tabletext0"/>
              <w:rPr>
                <w:i/>
                <w:color w:val="C00000"/>
              </w:rPr>
            </w:pPr>
            <w:r>
              <w:rPr>
                <w:i/>
                <w:color w:val="C00000"/>
              </w:rPr>
              <w:t>$44,347</w:t>
            </w:r>
          </w:p>
        </w:tc>
        <w:tc>
          <w:tcPr>
            <w:tcW w:w="586" w:type="pct"/>
            <w:tcBorders>
              <w:top w:val="single" w:sz="4" w:space="0" w:color="auto"/>
              <w:left w:val="single" w:sz="4" w:space="0" w:color="auto"/>
              <w:bottom w:val="single" w:sz="4" w:space="0" w:color="auto"/>
              <w:right w:val="single" w:sz="4" w:space="0" w:color="auto"/>
            </w:tcBorders>
            <w:hideMark/>
          </w:tcPr>
          <w:p w14:paraId="0D929FEA" w14:textId="77777777" w:rsidR="00B13F9D" w:rsidRDefault="00B13F9D">
            <w:pPr>
              <w:pStyle w:val="Tabletext0"/>
              <w:rPr>
                <w:i/>
                <w:color w:val="C00000"/>
              </w:rPr>
            </w:pPr>
            <w:r>
              <w:rPr>
                <w:i/>
                <w:color w:val="C00000"/>
              </w:rPr>
              <w:t>$45,044</w:t>
            </w:r>
          </w:p>
        </w:tc>
        <w:tc>
          <w:tcPr>
            <w:tcW w:w="586" w:type="pct"/>
            <w:tcBorders>
              <w:top w:val="single" w:sz="4" w:space="0" w:color="auto"/>
              <w:left w:val="single" w:sz="4" w:space="0" w:color="auto"/>
              <w:bottom w:val="single" w:sz="4" w:space="0" w:color="auto"/>
              <w:right w:val="single" w:sz="4" w:space="0" w:color="auto"/>
            </w:tcBorders>
            <w:hideMark/>
          </w:tcPr>
          <w:p w14:paraId="4D0D8071" w14:textId="77777777" w:rsidR="00B13F9D" w:rsidRDefault="00B13F9D">
            <w:pPr>
              <w:pStyle w:val="Tabletext0"/>
              <w:rPr>
                <w:i/>
                <w:color w:val="C00000"/>
              </w:rPr>
            </w:pPr>
            <w:r>
              <w:rPr>
                <w:i/>
                <w:color w:val="C00000"/>
              </w:rPr>
              <w:t>$45,733</w:t>
            </w:r>
          </w:p>
        </w:tc>
        <w:tc>
          <w:tcPr>
            <w:tcW w:w="586" w:type="pct"/>
            <w:tcBorders>
              <w:top w:val="single" w:sz="4" w:space="0" w:color="auto"/>
              <w:left w:val="single" w:sz="4" w:space="0" w:color="auto"/>
              <w:bottom w:val="single" w:sz="4" w:space="0" w:color="auto"/>
              <w:right w:val="single" w:sz="4" w:space="0" w:color="auto"/>
            </w:tcBorders>
            <w:hideMark/>
          </w:tcPr>
          <w:p w14:paraId="1A053DE1" w14:textId="77777777" w:rsidR="00B13F9D" w:rsidRDefault="00B13F9D">
            <w:pPr>
              <w:pStyle w:val="Tabletext0"/>
              <w:rPr>
                <w:i/>
                <w:color w:val="C00000"/>
              </w:rPr>
            </w:pPr>
            <w:r>
              <w:rPr>
                <w:i/>
                <w:color w:val="C00000"/>
              </w:rPr>
              <w:t>$46,410</w:t>
            </w:r>
          </w:p>
        </w:tc>
        <w:tc>
          <w:tcPr>
            <w:tcW w:w="626" w:type="pct"/>
            <w:tcBorders>
              <w:top w:val="single" w:sz="4" w:space="0" w:color="auto"/>
              <w:left w:val="single" w:sz="4" w:space="0" w:color="auto"/>
              <w:bottom w:val="single" w:sz="4" w:space="0" w:color="auto"/>
              <w:right w:val="single" w:sz="4" w:space="0" w:color="auto"/>
            </w:tcBorders>
            <w:hideMark/>
          </w:tcPr>
          <w:p w14:paraId="56239783" w14:textId="77777777" w:rsidR="00B13F9D" w:rsidRDefault="00B13F9D">
            <w:pPr>
              <w:pStyle w:val="Tabletext0"/>
            </w:pPr>
            <w:r>
              <w:t>Table 93 of Commentary</w:t>
            </w:r>
          </w:p>
        </w:tc>
      </w:tr>
      <w:tr w:rsidR="00B13F9D" w14:paraId="08FCAEC9"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5853BA3F" w14:textId="77777777" w:rsidR="00B13F9D" w:rsidRDefault="00B13F9D">
            <w:pPr>
              <w:pStyle w:val="Tabletext0"/>
            </w:pPr>
            <w:r>
              <w:t>D</w:t>
            </w:r>
          </w:p>
        </w:tc>
        <w:tc>
          <w:tcPr>
            <w:tcW w:w="1070" w:type="pct"/>
            <w:tcBorders>
              <w:top w:val="single" w:sz="4" w:space="0" w:color="auto"/>
              <w:left w:val="single" w:sz="4" w:space="0" w:color="auto"/>
              <w:bottom w:val="single" w:sz="4" w:space="0" w:color="auto"/>
              <w:right w:val="single" w:sz="4" w:space="0" w:color="auto"/>
            </w:tcBorders>
            <w:hideMark/>
          </w:tcPr>
          <w:p w14:paraId="1F1CE199" w14:textId="77777777" w:rsidR="00B13F9D" w:rsidRDefault="00B13F9D">
            <w:pPr>
              <w:pStyle w:val="Tabletext0"/>
            </w:pPr>
            <w:r>
              <w:t>Total cost</w:t>
            </w:r>
          </w:p>
        </w:tc>
        <w:tc>
          <w:tcPr>
            <w:tcW w:w="592" w:type="pct"/>
            <w:tcBorders>
              <w:top w:val="single" w:sz="4" w:space="0" w:color="auto"/>
              <w:left w:val="single" w:sz="4" w:space="0" w:color="auto"/>
              <w:bottom w:val="single" w:sz="4" w:space="0" w:color="auto"/>
              <w:right w:val="single" w:sz="4" w:space="0" w:color="auto"/>
            </w:tcBorders>
            <w:hideMark/>
          </w:tcPr>
          <w:p w14:paraId="320774D6" w14:textId="69BCDBF9" w:rsidR="00B13F9D" w:rsidRDefault="00B13F9D">
            <w:pPr>
              <w:pStyle w:val="Tabletext0"/>
            </w:pPr>
            <w:r>
              <w:t>$</w:t>
            </w:r>
            <w:r w:rsidR="001647CA">
              <w:t>redacted</w:t>
            </w:r>
          </w:p>
          <w:p w14:paraId="631A0FCE" w14:textId="601D6BCD"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79DD3869" w14:textId="1849256C" w:rsidR="00B13F9D" w:rsidRDefault="00B13F9D">
            <w:pPr>
              <w:pStyle w:val="Tabletext0"/>
            </w:pPr>
            <w:r>
              <w:t>$</w:t>
            </w:r>
            <w:r w:rsidR="001647CA">
              <w:t>redacted</w:t>
            </w:r>
          </w:p>
          <w:p w14:paraId="36CA0789" w14:textId="4966FC18"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7F8FE21D" w14:textId="14BB3E8B" w:rsidR="00B13F9D" w:rsidRDefault="00B13F9D">
            <w:pPr>
              <w:pStyle w:val="Tabletext0"/>
            </w:pPr>
            <w:r>
              <w:t>$</w:t>
            </w:r>
            <w:r w:rsidR="001647CA">
              <w:t>redacted</w:t>
            </w:r>
          </w:p>
          <w:p w14:paraId="4DE28073" w14:textId="042A545B"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056696D2" w14:textId="3F1ED1FA" w:rsidR="00B13F9D" w:rsidRDefault="00B13F9D">
            <w:pPr>
              <w:pStyle w:val="Tabletext0"/>
            </w:pPr>
            <w:r>
              <w:t>$</w:t>
            </w:r>
            <w:r w:rsidR="001647CA">
              <w:t>redacted</w:t>
            </w:r>
          </w:p>
          <w:p w14:paraId="4BB49E00" w14:textId="5CD8B223"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6B1E4A2D" w14:textId="75FF342C" w:rsidR="00B13F9D" w:rsidRDefault="00B13F9D">
            <w:pPr>
              <w:pStyle w:val="Tabletext0"/>
            </w:pPr>
            <w:r>
              <w:t>$</w:t>
            </w:r>
            <w:r w:rsidR="001647CA">
              <w:t>redacted</w:t>
            </w:r>
          </w:p>
          <w:p w14:paraId="04109AEF" w14:textId="2B03FC68" w:rsidR="00B13F9D" w:rsidRDefault="00B13F9D" w:rsidP="001647CA">
            <w:pPr>
              <w:pStyle w:val="Tabletext0"/>
              <w:rPr>
                <w:i/>
                <w:color w:val="C00000"/>
              </w:rPr>
            </w:pPr>
            <w:r>
              <w:rPr>
                <w:i/>
                <w:color w:val="C00000"/>
              </w:rPr>
              <w:t>$</w:t>
            </w:r>
            <w:r w:rsidR="001647CA">
              <w:rPr>
                <w:i/>
                <w:color w:val="C00000"/>
              </w:rPr>
              <w:t>redacted</w:t>
            </w:r>
          </w:p>
        </w:tc>
        <w:tc>
          <w:tcPr>
            <w:tcW w:w="626" w:type="pct"/>
            <w:tcBorders>
              <w:top w:val="single" w:sz="4" w:space="0" w:color="auto"/>
              <w:left w:val="single" w:sz="4" w:space="0" w:color="auto"/>
              <w:bottom w:val="single" w:sz="4" w:space="0" w:color="auto"/>
              <w:right w:val="single" w:sz="4" w:space="0" w:color="auto"/>
            </w:tcBorders>
            <w:hideMark/>
          </w:tcPr>
          <w:p w14:paraId="0C147C99" w14:textId="77777777" w:rsidR="00B13F9D" w:rsidRDefault="00B13F9D">
            <w:pPr>
              <w:pStyle w:val="Tabletext0"/>
            </w:pPr>
            <w:r>
              <w:t>B + C</w:t>
            </w:r>
          </w:p>
        </w:tc>
      </w:tr>
      <w:tr w:rsidR="00B13F9D" w14:paraId="62E41BEF" w14:textId="77777777" w:rsidTr="00F058C7">
        <w:tc>
          <w:tcPr>
            <w:tcW w:w="367" w:type="pct"/>
            <w:tcBorders>
              <w:top w:val="single" w:sz="4" w:space="0" w:color="auto"/>
              <w:left w:val="single" w:sz="4" w:space="0" w:color="auto"/>
              <w:bottom w:val="single" w:sz="4" w:space="0" w:color="auto"/>
              <w:right w:val="nil"/>
            </w:tcBorders>
          </w:tcPr>
          <w:p w14:paraId="60CA0725" w14:textId="77777777" w:rsidR="00B13F9D" w:rsidRDefault="00B13F9D">
            <w:pPr>
              <w:pStyle w:val="Tabletext0"/>
            </w:pPr>
          </w:p>
        </w:tc>
        <w:tc>
          <w:tcPr>
            <w:tcW w:w="1070" w:type="pct"/>
            <w:tcBorders>
              <w:top w:val="single" w:sz="4" w:space="0" w:color="auto"/>
              <w:left w:val="nil"/>
              <w:bottom w:val="single" w:sz="4" w:space="0" w:color="auto"/>
              <w:right w:val="nil"/>
            </w:tcBorders>
            <w:hideMark/>
          </w:tcPr>
          <w:p w14:paraId="41810423" w14:textId="77777777" w:rsidR="00B13F9D" w:rsidRDefault="00B13F9D">
            <w:pPr>
              <w:pStyle w:val="Tabletext0"/>
            </w:pPr>
            <w:r>
              <w:rPr>
                <w:u w:val="single"/>
              </w:rPr>
              <w:t>Scenario</w:t>
            </w:r>
            <w:r>
              <w:t>: ceasing to fund BST-</w:t>
            </w:r>
            <w:proofErr w:type="spellStart"/>
            <w:r>
              <w:t>CarGel</w:t>
            </w:r>
            <w:proofErr w:type="spellEnd"/>
          </w:p>
        </w:tc>
        <w:tc>
          <w:tcPr>
            <w:tcW w:w="592" w:type="pct"/>
            <w:tcBorders>
              <w:top w:val="single" w:sz="4" w:space="0" w:color="auto"/>
              <w:left w:val="nil"/>
              <w:bottom w:val="single" w:sz="4" w:space="0" w:color="auto"/>
              <w:right w:val="nil"/>
            </w:tcBorders>
          </w:tcPr>
          <w:p w14:paraId="0D88898F" w14:textId="77777777" w:rsidR="00B13F9D" w:rsidRDefault="00B13F9D">
            <w:pPr>
              <w:pStyle w:val="Tabletext0"/>
            </w:pPr>
          </w:p>
        </w:tc>
        <w:tc>
          <w:tcPr>
            <w:tcW w:w="586" w:type="pct"/>
            <w:tcBorders>
              <w:top w:val="single" w:sz="4" w:space="0" w:color="auto"/>
              <w:left w:val="nil"/>
              <w:bottom w:val="single" w:sz="4" w:space="0" w:color="auto"/>
              <w:right w:val="nil"/>
            </w:tcBorders>
          </w:tcPr>
          <w:p w14:paraId="4A11FA6E" w14:textId="77777777" w:rsidR="00B13F9D" w:rsidRDefault="00B13F9D">
            <w:pPr>
              <w:pStyle w:val="Tabletext0"/>
            </w:pPr>
          </w:p>
        </w:tc>
        <w:tc>
          <w:tcPr>
            <w:tcW w:w="586" w:type="pct"/>
            <w:tcBorders>
              <w:top w:val="single" w:sz="4" w:space="0" w:color="auto"/>
              <w:left w:val="nil"/>
              <w:bottom w:val="single" w:sz="4" w:space="0" w:color="auto"/>
              <w:right w:val="nil"/>
            </w:tcBorders>
          </w:tcPr>
          <w:p w14:paraId="2EC132BE" w14:textId="77777777" w:rsidR="00B13F9D" w:rsidRDefault="00B13F9D">
            <w:pPr>
              <w:pStyle w:val="Tabletext0"/>
            </w:pPr>
          </w:p>
        </w:tc>
        <w:tc>
          <w:tcPr>
            <w:tcW w:w="586" w:type="pct"/>
            <w:tcBorders>
              <w:top w:val="single" w:sz="4" w:space="0" w:color="auto"/>
              <w:left w:val="nil"/>
              <w:bottom w:val="single" w:sz="4" w:space="0" w:color="auto"/>
              <w:right w:val="nil"/>
            </w:tcBorders>
          </w:tcPr>
          <w:p w14:paraId="44C46243" w14:textId="77777777" w:rsidR="00B13F9D" w:rsidRDefault="00B13F9D">
            <w:pPr>
              <w:pStyle w:val="Tabletext0"/>
            </w:pPr>
          </w:p>
        </w:tc>
        <w:tc>
          <w:tcPr>
            <w:tcW w:w="586" w:type="pct"/>
            <w:tcBorders>
              <w:top w:val="single" w:sz="4" w:space="0" w:color="auto"/>
              <w:left w:val="nil"/>
              <w:bottom w:val="single" w:sz="4" w:space="0" w:color="auto"/>
              <w:right w:val="nil"/>
            </w:tcBorders>
          </w:tcPr>
          <w:p w14:paraId="3CFA89DE" w14:textId="77777777" w:rsidR="00B13F9D" w:rsidRDefault="00B13F9D">
            <w:pPr>
              <w:pStyle w:val="Tabletext0"/>
            </w:pPr>
          </w:p>
        </w:tc>
        <w:tc>
          <w:tcPr>
            <w:tcW w:w="626" w:type="pct"/>
            <w:tcBorders>
              <w:top w:val="single" w:sz="4" w:space="0" w:color="auto"/>
              <w:left w:val="nil"/>
              <w:bottom w:val="single" w:sz="4" w:space="0" w:color="auto"/>
              <w:right w:val="single" w:sz="4" w:space="0" w:color="auto"/>
            </w:tcBorders>
          </w:tcPr>
          <w:p w14:paraId="7287E835" w14:textId="77777777" w:rsidR="00B13F9D" w:rsidRDefault="00B13F9D">
            <w:pPr>
              <w:pStyle w:val="Tabletext0"/>
            </w:pPr>
          </w:p>
        </w:tc>
      </w:tr>
      <w:tr w:rsidR="00B13F9D" w14:paraId="7E870D4A"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64108234" w14:textId="77777777" w:rsidR="00B13F9D" w:rsidRDefault="00B13F9D">
            <w:pPr>
              <w:pStyle w:val="Tabletext0"/>
            </w:pPr>
            <w:r>
              <w:t>E</w:t>
            </w:r>
          </w:p>
        </w:tc>
        <w:tc>
          <w:tcPr>
            <w:tcW w:w="1070" w:type="pct"/>
            <w:tcBorders>
              <w:top w:val="single" w:sz="4" w:space="0" w:color="auto"/>
              <w:left w:val="single" w:sz="4" w:space="0" w:color="auto"/>
              <w:bottom w:val="single" w:sz="4" w:space="0" w:color="auto"/>
              <w:right w:val="single" w:sz="4" w:space="0" w:color="auto"/>
            </w:tcBorders>
            <w:hideMark/>
          </w:tcPr>
          <w:p w14:paraId="685FF1AF" w14:textId="77777777" w:rsidR="00B13F9D" w:rsidRDefault="00B13F9D">
            <w:pPr>
              <w:pStyle w:val="Tabletext0"/>
            </w:pPr>
            <w:r>
              <w:t>Cost of procedure †</w:t>
            </w:r>
          </w:p>
        </w:tc>
        <w:tc>
          <w:tcPr>
            <w:tcW w:w="592" w:type="pct"/>
            <w:tcBorders>
              <w:top w:val="single" w:sz="4" w:space="0" w:color="auto"/>
              <w:left w:val="single" w:sz="4" w:space="0" w:color="auto"/>
              <w:bottom w:val="single" w:sz="4" w:space="0" w:color="auto"/>
              <w:right w:val="single" w:sz="4" w:space="0" w:color="auto"/>
            </w:tcBorders>
            <w:hideMark/>
          </w:tcPr>
          <w:p w14:paraId="43C7BCE3" w14:textId="79B73C15"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60A62309" w14:textId="4BAA8022"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609AF08D" w14:textId="5EDAAABA"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330B3AB9" w14:textId="6E454DAF" w:rsidR="00B13F9D" w:rsidRPr="00146253" w:rsidRDefault="00B13F9D">
            <w:pPr>
              <w:pStyle w:val="Tabletext0"/>
            </w:pPr>
            <w:r w:rsidRPr="00146253">
              <w:t>$</w:t>
            </w:r>
            <w:r w:rsidR="00F058C7" w:rsidRPr="00146253">
              <w:t>redacted</w:t>
            </w:r>
          </w:p>
        </w:tc>
        <w:tc>
          <w:tcPr>
            <w:tcW w:w="586" w:type="pct"/>
            <w:tcBorders>
              <w:top w:val="single" w:sz="4" w:space="0" w:color="auto"/>
              <w:left w:val="single" w:sz="4" w:space="0" w:color="auto"/>
              <w:bottom w:val="single" w:sz="4" w:space="0" w:color="auto"/>
              <w:right w:val="single" w:sz="4" w:space="0" w:color="auto"/>
            </w:tcBorders>
            <w:hideMark/>
          </w:tcPr>
          <w:p w14:paraId="50D89B74" w14:textId="76E395B7" w:rsidR="00B13F9D" w:rsidRPr="00146253" w:rsidRDefault="00B13F9D">
            <w:pPr>
              <w:pStyle w:val="Tabletext0"/>
            </w:pPr>
            <w:r w:rsidRPr="00146253">
              <w:t>$</w:t>
            </w:r>
            <w:r w:rsidR="00F058C7" w:rsidRPr="00146253">
              <w:t>redacted</w:t>
            </w:r>
          </w:p>
        </w:tc>
        <w:tc>
          <w:tcPr>
            <w:tcW w:w="626" w:type="pct"/>
            <w:tcBorders>
              <w:top w:val="single" w:sz="4" w:space="0" w:color="auto"/>
              <w:left w:val="single" w:sz="4" w:space="0" w:color="auto"/>
              <w:bottom w:val="single" w:sz="4" w:space="0" w:color="auto"/>
              <w:right w:val="single" w:sz="4" w:space="0" w:color="auto"/>
            </w:tcBorders>
          </w:tcPr>
          <w:p w14:paraId="20D09F96" w14:textId="77777777" w:rsidR="00B13F9D" w:rsidRDefault="00B13F9D">
            <w:pPr>
              <w:pStyle w:val="Tabletext0"/>
            </w:pPr>
          </w:p>
        </w:tc>
      </w:tr>
      <w:tr w:rsidR="00B13F9D" w14:paraId="54492979"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1E15BAE2" w14:textId="77777777" w:rsidR="00B13F9D" w:rsidRDefault="00B13F9D">
            <w:pPr>
              <w:pStyle w:val="Tabletext0"/>
            </w:pPr>
            <w:r>
              <w:t>F</w:t>
            </w:r>
          </w:p>
        </w:tc>
        <w:tc>
          <w:tcPr>
            <w:tcW w:w="1070" w:type="pct"/>
            <w:tcBorders>
              <w:top w:val="single" w:sz="4" w:space="0" w:color="auto"/>
              <w:left w:val="single" w:sz="4" w:space="0" w:color="auto"/>
              <w:bottom w:val="single" w:sz="4" w:space="0" w:color="auto"/>
              <w:right w:val="single" w:sz="4" w:space="0" w:color="auto"/>
            </w:tcBorders>
            <w:hideMark/>
          </w:tcPr>
          <w:p w14:paraId="42AF3243" w14:textId="77777777" w:rsidR="00B13F9D" w:rsidRDefault="00B13F9D">
            <w:pPr>
              <w:pStyle w:val="Tabletext0"/>
            </w:pPr>
            <w:r>
              <w:t xml:space="preserve">Cost of associated services </w:t>
            </w:r>
          </w:p>
        </w:tc>
        <w:tc>
          <w:tcPr>
            <w:tcW w:w="592" w:type="pct"/>
            <w:tcBorders>
              <w:top w:val="single" w:sz="4" w:space="0" w:color="auto"/>
              <w:left w:val="single" w:sz="4" w:space="0" w:color="auto"/>
              <w:bottom w:val="single" w:sz="4" w:space="0" w:color="auto"/>
              <w:right w:val="single" w:sz="4" w:space="0" w:color="auto"/>
            </w:tcBorders>
            <w:hideMark/>
          </w:tcPr>
          <w:p w14:paraId="56281D17" w14:textId="77777777" w:rsidR="00B13F9D" w:rsidRDefault="00B13F9D">
            <w:pPr>
              <w:pStyle w:val="Tabletext0"/>
              <w:rPr>
                <w:i/>
                <w:color w:val="C00000"/>
              </w:rPr>
            </w:pPr>
            <w:r>
              <w:rPr>
                <w:i/>
                <w:color w:val="C00000"/>
              </w:rPr>
              <w:t>$38,514</w:t>
            </w:r>
          </w:p>
        </w:tc>
        <w:tc>
          <w:tcPr>
            <w:tcW w:w="586" w:type="pct"/>
            <w:tcBorders>
              <w:top w:val="single" w:sz="4" w:space="0" w:color="auto"/>
              <w:left w:val="single" w:sz="4" w:space="0" w:color="auto"/>
              <w:bottom w:val="single" w:sz="4" w:space="0" w:color="auto"/>
              <w:right w:val="single" w:sz="4" w:space="0" w:color="auto"/>
            </w:tcBorders>
            <w:hideMark/>
          </w:tcPr>
          <w:p w14:paraId="5BF0D2A5" w14:textId="77777777" w:rsidR="00B13F9D" w:rsidRDefault="00B13F9D">
            <w:pPr>
              <w:pStyle w:val="Tabletext0"/>
              <w:rPr>
                <w:i/>
                <w:color w:val="C00000"/>
              </w:rPr>
            </w:pPr>
            <w:r>
              <w:rPr>
                <w:i/>
                <w:color w:val="C00000"/>
              </w:rPr>
              <w:t>$39,137</w:t>
            </w:r>
          </w:p>
        </w:tc>
        <w:tc>
          <w:tcPr>
            <w:tcW w:w="586" w:type="pct"/>
            <w:tcBorders>
              <w:top w:val="single" w:sz="4" w:space="0" w:color="auto"/>
              <w:left w:val="single" w:sz="4" w:space="0" w:color="auto"/>
              <w:bottom w:val="single" w:sz="4" w:space="0" w:color="auto"/>
              <w:right w:val="single" w:sz="4" w:space="0" w:color="auto"/>
            </w:tcBorders>
            <w:hideMark/>
          </w:tcPr>
          <w:p w14:paraId="40CDF53C" w14:textId="77777777" w:rsidR="00B13F9D" w:rsidRDefault="00B13F9D">
            <w:pPr>
              <w:pStyle w:val="Tabletext0"/>
              <w:rPr>
                <w:i/>
                <w:color w:val="C00000"/>
              </w:rPr>
            </w:pPr>
            <w:r>
              <w:rPr>
                <w:i/>
                <w:color w:val="C00000"/>
              </w:rPr>
              <w:t>$39,752</w:t>
            </w:r>
          </w:p>
        </w:tc>
        <w:tc>
          <w:tcPr>
            <w:tcW w:w="586" w:type="pct"/>
            <w:tcBorders>
              <w:top w:val="single" w:sz="4" w:space="0" w:color="auto"/>
              <w:left w:val="single" w:sz="4" w:space="0" w:color="auto"/>
              <w:bottom w:val="single" w:sz="4" w:space="0" w:color="auto"/>
              <w:right w:val="single" w:sz="4" w:space="0" w:color="auto"/>
            </w:tcBorders>
            <w:hideMark/>
          </w:tcPr>
          <w:p w14:paraId="3845CADA" w14:textId="77777777" w:rsidR="00B13F9D" w:rsidRDefault="00B13F9D">
            <w:pPr>
              <w:pStyle w:val="Tabletext0"/>
              <w:rPr>
                <w:i/>
                <w:color w:val="C00000"/>
              </w:rPr>
            </w:pPr>
            <w:r>
              <w:rPr>
                <w:i/>
                <w:color w:val="C00000"/>
              </w:rPr>
              <w:t>$40,360</w:t>
            </w:r>
          </w:p>
        </w:tc>
        <w:tc>
          <w:tcPr>
            <w:tcW w:w="586" w:type="pct"/>
            <w:tcBorders>
              <w:top w:val="single" w:sz="4" w:space="0" w:color="auto"/>
              <w:left w:val="single" w:sz="4" w:space="0" w:color="auto"/>
              <w:bottom w:val="single" w:sz="4" w:space="0" w:color="auto"/>
              <w:right w:val="single" w:sz="4" w:space="0" w:color="auto"/>
            </w:tcBorders>
            <w:hideMark/>
          </w:tcPr>
          <w:p w14:paraId="6883CEAE" w14:textId="77777777" w:rsidR="00B13F9D" w:rsidRDefault="00B13F9D">
            <w:pPr>
              <w:pStyle w:val="Tabletext0"/>
              <w:rPr>
                <w:i/>
                <w:color w:val="C00000"/>
              </w:rPr>
            </w:pPr>
            <w:r>
              <w:rPr>
                <w:i/>
                <w:color w:val="C00000"/>
              </w:rPr>
              <w:t>$40,958</w:t>
            </w:r>
          </w:p>
        </w:tc>
        <w:tc>
          <w:tcPr>
            <w:tcW w:w="626" w:type="pct"/>
            <w:tcBorders>
              <w:top w:val="single" w:sz="4" w:space="0" w:color="auto"/>
              <w:left w:val="single" w:sz="4" w:space="0" w:color="auto"/>
              <w:bottom w:val="single" w:sz="4" w:space="0" w:color="auto"/>
              <w:right w:val="single" w:sz="4" w:space="0" w:color="auto"/>
            </w:tcBorders>
          </w:tcPr>
          <w:p w14:paraId="239CDFF9" w14:textId="77777777" w:rsidR="00B13F9D" w:rsidRDefault="00B13F9D">
            <w:pPr>
              <w:pStyle w:val="Tabletext0"/>
            </w:pPr>
          </w:p>
        </w:tc>
      </w:tr>
      <w:tr w:rsidR="00B13F9D" w14:paraId="0715ADC8" w14:textId="77777777" w:rsidTr="00F058C7">
        <w:tc>
          <w:tcPr>
            <w:tcW w:w="367" w:type="pct"/>
            <w:tcBorders>
              <w:top w:val="single" w:sz="4" w:space="0" w:color="auto"/>
              <w:left w:val="single" w:sz="4" w:space="0" w:color="auto"/>
              <w:bottom w:val="single" w:sz="4" w:space="0" w:color="auto"/>
              <w:right w:val="single" w:sz="4" w:space="0" w:color="auto"/>
            </w:tcBorders>
            <w:hideMark/>
          </w:tcPr>
          <w:p w14:paraId="15C8F4E1" w14:textId="77777777" w:rsidR="00B13F9D" w:rsidRDefault="00B13F9D">
            <w:pPr>
              <w:pStyle w:val="Tabletext0"/>
            </w:pPr>
            <w:r>
              <w:t>G</w:t>
            </w:r>
          </w:p>
        </w:tc>
        <w:tc>
          <w:tcPr>
            <w:tcW w:w="1070" w:type="pct"/>
            <w:tcBorders>
              <w:top w:val="single" w:sz="4" w:space="0" w:color="auto"/>
              <w:left w:val="single" w:sz="4" w:space="0" w:color="auto"/>
              <w:bottom w:val="single" w:sz="4" w:space="0" w:color="auto"/>
              <w:right w:val="single" w:sz="4" w:space="0" w:color="auto"/>
            </w:tcBorders>
            <w:hideMark/>
          </w:tcPr>
          <w:p w14:paraId="5967211F" w14:textId="77777777" w:rsidR="00B13F9D" w:rsidRDefault="00B13F9D">
            <w:pPr>
              <w:pStyle w:val="Tabletext0"/>
            </w:pPr>
            <w:r>
              <w:t xml:space="preserve">Total cost </w:t>
            </w:r>
          </w:p>
        </w:tc>
        <w:tc>
          <w:tcPr>
            <w:tcW w:w="592" w:type="pct"/>
            <w:tcBorders>
              <w:top w:val="single" w:sz="4" w:space="0" w:color="auto"/>
              <w:left w:val="single" w:sz="4" w:space="0" w:color="auto"/>
              <w:bottom w:val="single" w:sz="4" w:space="0" w:color="auto"/>
              <w:right w:val="single" w:sz="4" w:space="0" w:color="auto"/>
            </w:tcBorders>
            <w:hideMark/>
          </w:tcPr>
          <w:p w14:paraId="646E83BE" w14:textId="30C7059C" w:rsidR="00B13F9D" w:rsidRDefault="00B13F9D">
            <w:pPr>
              <w:pStyle w:val="Tabletext0"/>
            </w:pPr>
            <w:r>
              <w:t>$</w:t>
            </w:r>
            <w:r w:rsidR="001647CA">
              <w:t>redacted</w:t>
            </w:r>
          </w:p>
          <w:p w14:paraId="7EC0F5EC" w14:textId="13EBDAB0"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4BA76023" w14:textId="6A38FEB1" w:rsidR="00B13F9D" w:rsidRDefault="00B13F9D">
            <w:pPr>
              <w:pStyle w:val="Tabletext0"/>
            </w:pPr>
            <w:r>
              <w:t>$</w:t>
            </w:r>
            <w:r w:rsidR="001647CA">
              <w:t>redacted</w:t>
            </w:r>
          </w:p>
          <w:p w14:paraId="6F1FECDD" w14:textId="420A7C20"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36CEC56F" w14:textId="09EDE4D6" w:rsidR="00B13F9D" w:rsidRDefault="00B13F9D">
            <w:pPr>
              <w:pStyle w:val="Tabletext0"/>
            </w:pPr>
            <w:r>
              <w:t>$</w:t>
            </w:r>
            <w:r w:rsidR="001647CA">
              <w:t>redacted</w:t>
            </w:r>
          </w:p>
          <w:p w14:paraId="35790393" w14:textId="627E04EF"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7E8AE67B" w14:textId="321BD712" w:rsidR="00B13F9D" w:rsidRDefault="00B13F9D">
            <w:pPr>
              <w:pStyle w:val="Tabletext0"/>
            </w:pPr>
            <w:r>
              <w:t>$</w:t>
            </w:r>
            <w:r w:rsidR="001647CA">
              <w:t>redacted</w:t>
            </w:r>
          </w:p>
          <w:p w14:paraId="31B8F2D9" w14:textId="0D3CA33F" w:rsidR="00B13F9D" w:rsidRDefault="00B13F9D" w:rsidP="001647CA">
            <w:pPr>
              <w:pStyle w:val="Tabletext0"/>
              <w:rPr>
                <w:i/>
                <w:color w:val="C00000"/>
              </w:rPr>
            </w:pPr>
            <w:r>
              <w:rPr>
                <w:i/>
                <w:color w:val="C00000"/>
              </w:rPr>
              <w:t>$</w:t>
            </w:r>
            <w:r w:rsidR="001647CA">
              <w:rPr>
                <w:i/>
                <w:color w:val="C00000"/>
              </w:rPr>
              <w:t>redacted</w:t>
            </w:r>
          </w:p>
        </w:tc>
        <w:tc>
          <w:tcPr>
            <w:tcW w:w="586" w:type="pct"/>
            <w:tcBorders>
              <w:top w:val="single" w:sz="4" w:space="0" w:color="auto"/>
              <w:left w:val="single" w:sz="4" w:space="0" w:color="auto"/>
              <w:bottom w:val="single" w:sz="4" w:space="0" w:color="auto"/>
              <w:right w:val="single" w:sz="4" w:space="0" w:color="auto"/>
            </w:tcBorders>
            <w:hideMark/>
          </w:tcPr>
          <w:p w14:paraId="1F49338B" w14:textId="3F5D13C8" w:rsidR="00B13F9D" w:rsidRDefault="00B13F9D">
            <w:pPr>
              <w:pStyle w:val="Tabletext0"/>
            </w:pPr>
            <w:r>
              <w:t>$</w:t>
            </w:r>
            <w:r w:rsidR="001647CA">
              <w:t>redacted</w:t>
            </w:r>
          </w:p>
          <w:p w14:paraId="564B24A0" w14:textId="4DB0EBFA" w:rsidR="00B13F9D" w:rsidRDefault="00B13F9D" w:rsidP="001647CA">
            <w:pPr>
              <w:pStyle w:val="Tabletext0"/>
              <w:rPr>
                <w:i/>
                <w:color w:val="C00000"/>
              </w:rPr>
            </w:pPr>
            <w:r>
              <w:rPr>
                <w:i/>
                <w:color w:val="C00000"/>
              </w:rPr>
              <w:t>$</w:t>
            </w:r>
            <w:r w:rsidR="001647CA">
              <w:rPr>
                <w:i/>
                <w:color w:val="C00000"/>
              </w:rPr>
              <w:t>redacted</w:t>
            </w:r>
          </w:p>
        </w:tc>
        <w:tc>
          <w:tcPr>
            <w:tcW w:w="626" w:type="pct"/>
            <w:tcBorders>
              <w:top w:val="single" w:sz="4" w:space="0" w:color="auto"/>
              <w:left w:val="single" w:sz="4" w:space="0" w:color="auto"/>
              <w:bottom w:val="single" w:sz="4" w:space="0" w:color="auto"/>
              <w:right w:val="single" w:sz="4" w:space="0" w:color="auto"/>
            </w:tcBorders>
          </w:tcPr>
          <w:p w14:paraId="1BC8F2C2" w14:textId="77777777" w:rsidR="00B13F9D" w:rsidRDefault="00B13F9D">
            <w:pPr>
              <w:pStyle w:val="Tabletext0"/>
            </w:pPr>
          </w:p>
        </w:tc>
      </w:tr>
      <w:tr w:rsidR="00B13F9D" w14:paraId="0FC626F6" w14:textId="77777777" w:rsidTr="00F058C7">
        <w:tc>
          <w:tcPr>
            <w:tcW w:w="367" w:type="pct"/>
            <w:tcBorders>
              <w:top w:val="single" w:sz="4" w:space="0" w:color="auto"/>
              <w:left w:val="single" w:sz="4" w:space="0" w:color="auto"/>
              <w:bottom w:val="single" w:sz="4" w:space="0" w:color="auto"/>
              <w:right w:val="nil"/>
            </w:tcBorders>
          </w:tcPr>
          <w:p w14:paraId="65B89910" w14:textId="77777777" w:rsidR="00B13F9D" w:rsidRDefault="00B13F9D">
            <w:pPr>
              <w:pStyle w:val="Tabletext0"/>
            </w:pPr>
          </w:p>
        </w:tc>
        <w:tc>
          <w:tcPr>
            <w:tcW w:w="1070" w:type="pct"/>
            <w:tcBorders>
              <w:top w:val="single" w:sz="4" w:space="0" w:color="auto"/>
              <w:left w:val="nil"/>
              <w:bottom w:val="single" w:sz="4" w:space="0" w:color="auto"/>
              <w:right w:val="nil"/>
            </w:tcBorders>
          </w:tcPr>
          <w:p w14:paraId="75D4D89F" w14:textId="4804337F" w:rsidR="00B13F9D" w:rsidRDefault="0001417F">
            <w:pPr>
              <w:pStyle w:val="Tabletext0"/>
            </w:pPr>
            <w:r>
              <w:t>-</w:t>
            </w:r>
          </w:p>
        </w:tc>
        <w:tc>
          <w:tcPr>
            <w:tcW w:w="592" w:type="pct"/>
            <w:tcBorders>
              <w:top w:val="single" w:sz="4" w:space="0" w:color="auto"/>
              <w:left w:val="nil"/>
              <w:bottom w:val="single" w:sz="4" w:space="0" w:color="auto"/>
              <w:right w:val="nil"/>
            </w:tcBorders>
          </w:tcPr>
          <w:p w14:paraId="0187357D" w14:textId="77777777" w:rsidR="00B13F9D" w:rsidRDefault="00B13F9D">
            <w:pPr>
              <w:pStyle w:val="Tabletext0"/>
            </w:pPr>
          </w:p>
        </w:tc>
        <w:tc>
          <w:tcPr>
            <w:tcW w:w="586" w:type="pct"/>
            <w:tcBorders>
              <w:top w:val="single" w:sz="4" w:space="0" w:color="auto"/>
              <w:left w:val="nil"/>
              <w:bottom w:val="single" w:sz="4" w:space="0" w:color="auto"/>
              <w:right w:val="nil"/>
            </w:tcBorders>
          </w:tcPr>
          <w:p w14:paraId="3B1BBB47" w14:textId="77777777" w:rsidR="00B13F9D" w:rsidRDefault="00B13F9D">
            <w:pPr>
              <w:pStyle w:val="Tabletext0"/>
            </w:pPr>
          </w:p>
        </w:tc>
        <w:tc>
          <w:tcPr>
            <w:tcW w:w="586" w:type="pct"/>
            <w:tcBorders>
              <w:top w:val="single" w:sz="4" w:space="0" w:color="auto"/>
              <w:left w:val="nil"/>
              <w:bottom w:val="single" w:sz="4" w:space="0" w:color="auto"/>
              <w:right w:val="nil"/>
            </w:tcBorders>
          </w:tcPr>
          <w:p w14:paraId="31EC557B" w14:textId="77777777" w:rsidR="00B13F9D" w:rsidRDefault="00B13F9D">
            <w:pPr>
              <w:pStyle w:val="Tabletext0"/>
            </w:pPr>
          </w:p>
        </w:tc>
        <w:tc>
          <w:tcPr>
            <w:tcW w:w="586" w:type="pct"/>
            <w:tcBorders>
              <w:top w:val="single" w:sz="4" w:space="0" w:color="auto"/>
              <w:left w:val="nil"/>
              <w:bottom w:val="single" w:sz="4" w:space="0" w:color="auto"/>
              <w:right w:val="nil"/>
            </w:tcBorders>
          </w:tcPr>
          <w:p w14:paraId="529827F3" w14:textId="77777777" w:rsidR="00B13F9D" w:rsidRDefault="00B13F9D">
            <w:pPr>
              <w:pStyle w:val="Tabletext0"/>
            </w:pPr>
          </w:p>
        </w:tc>
        <w:tc>
          <w:tcPr>
            <w:tcW w:w="586" w:type="pct"/>
            <w:tcBorders>
              <w:top w:val="single" w:sz="4" w:space="0" w:color="auto"/>
              <w:left w:val="nil"/>
              <w:bottom w:val="single" w:sz="4" w:space="0" w:color="auto"/>
              <w:right w:val="nil"/>
            </w:tcBorders>
          </w:tcPr>
          <w:p w14:paraId="32416E12" w14:textId="77777777" w:rsidR="00B13F9D" w:rsidRDefault="00B13F9D">
            <w:pPr>
              <w:pStyle w:val="Tabletext0"/>
            </w:pPr>
          </w:p>
        </w:tc>
        <w:tc>
          <w:tcPr>
            <w:tcW w:w="626" w:type="pct"/>
            <w:tcBorders>
              <w:top w:val="single" w:sz="4" w:space="0" w:color="auto"/>
              <w:left w:val="nil"/>
              <w:bottom w:val="single" w:sz="4" w:space="0" w:color="auto"/>
              <w:right w:val="single" w:sz="4" w:space="0" w:color="auto"/>
            </w:tcBorders>
          </w:tcPr>
          <w:p w14:paraId="13286562" w14:textId="77777777" w:rsidR="00B13F9D" w:rsidRDefault="00B13F9D">
            <w:pPr>
              <w:pStyle w:val="Tabletext0"/>
            </w:pPr>
          </w:p>
        </w:tc>
      </w:tr>
      <w:tr w:rsidR="00B13F9D" w14:paraId="1841B423" w14:textId="77777777" w:rsidTr="00F058C7">
        <w:tc>
          <w:tcPr>
            <w:tcW w:w="367" w:type="pct"/>
            <w:tcBorders>
              <w:top w:val="single" w:sz="4" w:space="0" w:color="auto"/>
              <w:left w:val="single" w:sz="4" w:space="0" w:color="auto"/>
              <w:bottom w:val="single" w:sz="4" w:space="0" w:color="auto"/>
              <w:right w:val="single" w:sz="4" w:space="0" w:color="auto"/>
            </w:tcBorders>
          </w:tcPr>
          <w:p w14:paraId="3FD17459" w14:textId="77777777" w:rsidR="00B13F9D" w:rsidRDefault="00B13F9D">
            <w:pPr>
              <w:pStyle w:val="Tabletext0"/>
            </w:pPr>
          </w:p>
        </w:tc>
        <w:tc>
          <w:tcPr>
            <w:tcW w:w="1070" w:type="pct"/>
            <w:tcBorders>
              <w:top w:val="single" w:sz="4" w:space="0" w:color="auto"/>
              <w:left w:val="single" w:sz="4" w:space="0" w:color="auto"/>
              <w:bottom w:val="single" w:sz="4" w:space="0" w:color="auto"/>
              <w:right w:val="single" w:sz="4" w:space="0" w:color="auto"/>
            </w:tcBorders>
            <w:hideMark/>
          </w:tcPr>
          <w:p w14:paraId="61695106" w14:textId="77777777" w:rsidR="00B13F9D" w:rsidRDefault="00B13F9D">
            <w:pPr>
              <w:pStyle w:val="Tabletext0"/>
            </w:pPr>
            <w:r>
              <w:t>Net cost impact (Applicant estimate)</w:t>
            </w:r>
          </w:p>
        </w:tc>
        <w:tc>
          <w:tcPr>
            <w:tcW w:w="592" w:type="pct"/>
            <w:tcBorders>
              <w:top w:val="single" w:sz="4" w:space="0" w:color="auto"/>
              <w:left w:val="single" w:sz="4" w:space="0" w:color="auto"/>
              <w:bottom w:val="single" w:sz="4" w:space="0" w:color="auto"/>
              <w:right w:val="single" w:sz="4" w:space="0" w:color="auto"/>
            </w:tcBorders>
            <w:hideMark/>
          </w:tcPr>
          <w:p w14:paraId="20563317" w14:textId="77777777" w:rsidR="00B13F9D" w:rsidRDefault="00B13F9D">
            <w:pPr>
              <w:pStyle w:val="Tabletext0"/>
            </w:pPr>
            <w:r>
              <w:t>$0</w:t>
            </w:r>
          </w:p>
        </w:tc>
        <w:tc>
          <w:tcPr>
            <w:tcW w:w="586" w:type="pct"/>
            <w:tcBorders>
              <w:top w:val="single" w:sz="4" w:space="0" w:color="auto"/>
              <w:left w:val="single" w:sz="4" w:space="0" w:color="auto"/>
              <w:bottom w:val="single" w:sz="4" w:space="0" w:color="auto"/>
              <w:right w:val="single" w:sz="4" w:space="0" w:color="auto"/>
            </w:tcBorders>
            <w:hideMark/>
          </w:tcPr>
          <w:p w14:paraId="25F2C004" w14:textId="77777777" w:rsidR="00B13F9D" w:rsidRDefault="00B13F9D">
            <w:pPr>
              <w:pStyle w:val="Tabletext0"/>
            </w:pPr>
            <w:r>
              <w:t>$0</w:t>
            </w:r>
          </w:p>
        </w:tc>
        <w:tc>
          <w:tcPr>
            <w:tcW w:w="586" w:type="pct"/>
            <w:tcBorders>
              <w:top w:val="single" w:sz="4" w:space="0" w:color="auto"/>
              <w:left w:val="single" w:sz="4" w:space="0" w:color="auto"/>
              <w:bottom w:val="single" w:sz="4" w:space="0" w:color="auto"/>
              <w:right w:val="single" w:sz="4" w:space="0" w:color="auto"/>
            </w:tcBorders>
            <w:hideMark/>
          </w:tcPr>
          <w:p w14:paraId="6CBD17F1" w14:textId="77777777" w:rsidR="00B13F9D" w:rsidRDefault="00B13F9D">
            <w:pPr>
              <w:pStyle w:val="Tabletext0"/>
            </w:pPr>
            <w:r>
              <w:t>$0</w:t>
            </w:r>
          </w:p>
        </w:tc>
        <w:tc>
          <w:tcPr>
            <w:tcW w:w="586" w:type="pct"/>
            <w:tcBorders>
              <w:top w:val="single" w:sz="4" w:space="0" w:color="auto"/>
              <w:left w:val="single" w:sz="4" w:space="0" w:color="auto"/>
              <w:bottom w:val="single" w:sz="4" w:space="0" w:color="auto"/>
              <w:right w:val="single" w:sz="4" w:space="0" w:color="auto"/>
            </w:tcBorders>
            <w:hideMark/>
          </w:tcPr>
          <w:p w14:paraId="2D4C6520" w14:textId="77777777" w:rsidR="00B13F9D" w:rsidRDefault="00B13F9D">
            <w:pPr>
              <w:pStyle w:val="Tabletext0"/>
            </w:pPr>
            <w:r>
              <w:t>$0</w:t>
            </w:r>
          </w:p>
        </w:tc>
        <w:tc>
          <w:tcPr>
            <w:tcW w:w="586" w:type="pct"/>
            <w:tcBorders>
              <w:top w:val="single" w:sz="4" w:space="0" w:color="auto"/>
              <w:left w:val="single" w:sz="4" w:space="0" w:color="auto"/>
              <w:bottom w:val="single" w:sz="4" w:space="0" w:color="auto"/>
              <w:right w:val="single" w:sz="4" w:space="0" w:color="auto"/>
            </w:tcBorders>
            <w:hideMark/>
          </w:tcPr>
          <w:p w14:paraId="66D037BE" w14:textId="77777777" w:rsidR="00B13F9D" w:rsidRDefault="00B13F9D">
            <w:pPr>
              <w:pStyle w:val="Tabletext0"/>
            </w:pPr>
            <w:r>
              <w:t>$0</w:t>
            </w:r>
          </w:p>
        </w:tc>
        <w:tc>
          <w:tcPr>
            <w:tcW w:w="626" w:type="pct"/>
            <w:tcBorders>
              <w:top w:val="single" w:sz="4" w:space="0" w:color="auto"/>
              <w:left w:val="single" w:sz="4" w:space="0" w:color="auto"/>
              <w:bottom w:val="single" w:sz="4" w:space="0" w:color="auto"/>
              <w:right w:val="single" w:sz="4" w:space="0" w:color="auto"/>
            </w:tcBorders>
            <w:hideMark/>
          </w:tcPr>
          <w:p w14:paraId="5CF759ED" w14:textId="77777777" w:rsidR="00B13F9D" w:rsidRDefault="00B13F9D">
            <w:pPr>
              <w:pStyle w:val="Tabletext0"/>
            </w:pPr>
            <w:r>
              <w:t>B - E</w:t>
            </w:r>
          </w:p>
        </w:tc>
      </w:tr>
      <w:tr w:rsidR="00B13F9D" w14:paraId="1A7DFB79" w14:textId="77777777" w:rsidTr="00F058C7">
        <w:tc>
          <w:tcPr>
            <w:tcW w:w="367" w:type="pct"/>
            <w:tcBorders>
              <w:top w:val="single" w:sz="4" w:space="0" w:color="auto"/>
              <w:left w:val="single" w:sz="4" w:space="0" w:color="auto"/>
              <w:bottom w:val="single" w:sz="4" w:space="0" w:color="auto"/>
              <w:right w:val="single" w:sz="4" w:space="0" w:color="auto"/>
            </w:tcBorders>
          </w:tcPr>
          <w:p w14:paraId="2BA870CB" w14:textId="77777777" w:rsidR="00B13F9D" w:rsidRDefault="00B13F9D">
            <w:pPr>
              <w:pStyle w:val="Tabletext0"/>
            </w:pPr>
          </w:p>
        </w:tc>
        <w:tc>
          <w:tcPr>
            <w:tcW w:w="1070" w:type="pct"/>
            <w:tcBorders>
              <w:top w:val="single" w:sz="4" w:space="0" w:color="auto"/>
              <w:left w:val="single" w:sz="4" w:space="0" w:color="auto"/>
              <w:bottom w:val="single" w:sz="4" w:space="0" w:color="auto"/>
              <w:right w:val="single" w:sz="4" w:space="0" w:color="auto"/>
            </w:tcBorders>
            <w:hideMark/>
          </w:tcPr>
          <w:p w14:paraId="77FBD98F" w14:textId="77777777" w:rsidR="00B13F9D" w:rsidRDefault="00B13F9D">
            <w:pPr>
              <w:pStyle w:val="Tabletext0"/>
            </w:pPr>
            <w:r>
              <w:t>Net cost impact of continued BST-</w:t>
            </w:r>
            <w:proofErr w:type="spellStart"/>
            <w:r>
              <w:t>CarGel</w:t>
            </w:r>
            <w:proofErr w:type="spellEnd"/>
            <w:r>
              <w:t xml:space="preserve"> reimbursement</w:t>
            </w:r>
          </w:p>
        </w:tc>
        <w:tc>
          <w:tcPr>
            <w:tcW w:w="592" w:type="pct"/>
            <w:tcBorders>
              <w:top w:val="single" w:sz="4" w:space="0" w:color="auto"/>
              <w:left w:val="single" w:sz="4" w:space="0" w:color="auto"/>
              <w:bottom w:val="single" w:sz="4" w:space="0" w:color="auto"/>
              <w:right w:val="single" w:sz="4" w:space="0" w:color="auto"/>
            </w:tcBorders>
            <w:hideMark/>
          </w:tcPr>
          <w:p w14:paraId="13D63D89" w14:textId="77777777" w:rsidR="00B13F9D" w:rsidRDefault="00B13F9D">
            <w:pPr>
              <w:pStyle w:val="Tabletext0"/>
              <w:rPr>
                <w:i/>
                <w:color w:val="C00000"/>
              </w:rPr>
            </w:pPr>
            <w:r>
              <w:rPr>
                <w:i/>
                <w:color w:val="C00000"/>
              </w:rPr>
              <w:t>$5,127</w:t>
            </w:r>
          </w:p>
        </w:tc>
        <w:tc>
          <w:tcPr>
            <w:tcW w:w="586" w:type="pct"/>
            <w:tcBorders>
              <w:top w:val="single" w:sz="4" w:space="0" w:color="auto"/>
              <w:left w:val="single" w:sz="4" w:space="0" w:color="auto"/>
              <w:bottom w:val="single" w:sz="4" w:space="0" w:color="auto"/>
              <w:right w:val="single" w:sz="4" w:space="0" w:color="auto"/>
            </w:tcBorders>
            <w:hideMark/>
          </w:tcPr>
          <w:p w14:paraId="1D036A8B" w14:textId="77777777" w:rsidR="00B13F9D" w:rsidRDefault="00B13F9D">
            <w:pPr>
              <w:pStyle w:val="Tabletext0"/>
              <w:rPr>
                <w:i/>
                <w:color w:val="C00000"/>
              </w:rPr>
            </w:pPr>
            <w:r>
              <w:rPr>
                <w:i/>
                <w:color w:val="C00000"/>
              </w:rPr>
              <w:t>$5,210</w:t>
            </w:r>
          </w:p>
        </w:tc>
        <w:tc>
          <w:tcPr>
            <w:tcW w:w="586" w:type="pct"/>
            <w:tcBorders>
              <w:top w:val="single" w:sz="4" w:space="0" w:color="auto"/>
              <w:left w:val="single" w:sz="4" w:space="0" w:color="auto"/>
              <w:bottom w:val="single" w:sz="4" w:space="0" w:color="auto"/>
              <w:right w:val="single" w:sz="4" w:space="0" w:color="auto"/>
            </w:tcBorders>
            <w:hideMark/>
          </w:tcPr>
          <w:p w14:paraId="271B0BB2" w14:textId="77777777" w:rsidR="00B13F9D" w:rsidRDefault="00B13F9D">
            <w:pPr>
              <w:pStyle w:val="Tabletext0"/>
              <w:rPr>
                <w:i/>
                <w:color w:val="C00000"/>
              </w:rPr>
            </w:pPr>
            <w:r>
              <w:rPr>
                <w:i/>
                <w:color w:val="C00000"/>
              </w:rPr>
              <w:t>$5,292</w:t>
            </w:r>
          </w:p>
        </w:tc>
        <w:tc>
          <w:tcPr>
            <w:tcW w:w="586" w:type="pct"/>
            <w:tcBorders>
              <w:top w:val="single" w:sz="4" w:space="0" w:color="auto"/>
              <w:left w:val="single" w:sz="4" w:space="0" w:color="auto"/>
              <w:bottom w:val="single" w:sz="4" w:space="0" w:color="auto"/>
              <w:right w:val="single" w:sz="4" w:space="0" w:color="auto"/>
            </w:tcBorders>
            <w:hideMark/>
          </w:tcPr>
          <w:p w14:paraId="539C8427" w14:textId="77777777" w:rsidR="00B13F9D" w:rsidRDefault="00B13F9D">
            <w:pPr>
              <w:pStyle w:val="Tabletext0"/>
              <w:rPr>
                <w:i/>
                <w:color w:val="C00000"/>
              </w:rPr>
            </w:pPr>
            <w:r>
              <w:rPr>
                <w:i/>
                <w:color w:val="C00000"/>
              </w:rPr>
              <w:t>$5,373</w:t>
            </w:r>
          </w:p>
        </w:tc>
        <w:tc>
          <w:tcPr>
            <w:tcW w:w="586" w:type="pct"/>
            <w:tcBorders>
              <w:top w:val="single" w:sz="4" w:space="0" w:color="auto"/>
              <w:left w:val="single" w:sz="4" w:space="0" w:color="auto"/>
              <w:bottom w:val="single" w:sz="4" w:space="0" w:color="auto"/>
              <w:right w:val="single" w:sz="4" w:space="0" w:color="auto"/>
            </w:tcBorders>
            <w:hideMark/>
          </w:tcPr>
          <w:p w14:paraId="3686B9DD" w14:textId="77777777" w:rsidR="00B13F9D" w:rsidRDefault="00B13F9D">
            <w:pPr>
              <w:pStyle w:val="Tabletext0"/>
              <w:rPr>
                <w:i/>
                <w:color w:val="C00000"/>
              </w:rPr>
            </w:pPr>
            <w:r>
              <w:rPr>
                <w:i/>
                <w:color w:val="C00000"/>
              </w:rPr>
              <w:t>$5,453</w:t>
            </w:r>
          </w:p>
        </w:tc>
        <w:tc>
          <w:tcPr>
            <w:tcW w:w="626" w:type="pct"/>
            <w:tcBorders>
              <w:top w:val="single" w:sz="4" w:space="0" w:color="auto"/>
              <w:left w:val="single" w:sz="4" w:space="0" w:color="auto"/>
              <w:bottom w:val="single" w:sz="4" w:space="0" w:color="auto"/>
              <w:right w:val="single" w:sz="4" w:space="0" w:color="auto"/>
            </w:tcBorders>
            <w:hideMark/>
          </w:tcPr>
          <w:p w14:paraId="69952A20" w14:textId="77777777" w:rsidR="00B13F9D" w:rsidRDefault="00B13F9D">
            <w:pPr>
              <w:pStyle w:val="Tabletext0"/>
            </w:pPr>
            <w:r>
              <w:t>D - G</w:t>
            </w:r>
          </w:p>
        </w:tc>
      </w:tr>
    </w:tbl>
    <w:p w14:paraId="6E250F5F" w14:textId="77777777" w:rsidR="00B13F9D" w:rsidRDefault="00B13F9D" w:rsidP="00B13F9D">
      <w:pPr>
        <w:pStyle w:val="Tablenotes1"/>
      </w:pPr>
      <w:r>
        <w:rPr>
          <w:b/>
          <w:bCs/>
        </w:rPr>
        <w:t>Notes</w:t>
      </w:r>
      <w:r>
        <w:t>: † = assuming a one-to-one substitution with microfracture alone</w:t>
      </w:r>
    </w:p>
    <w:p w14:paraId="1ECB951E" w14:textId="77777777" w:rsidR="00E5606A" w:rsidRDefault="00B13F9D" w:rsidP="00B13F9D">
      <w:pPr>
        <w:pStyle w:val="Tablenotes1"/>
      </w:pPr>
      <w:r>
        <w:t>Source: Tabl</w:t>
      </w:r>
      <w:r w:rsidR="00E5606A">
        <w:t>e 10, p xxxiv of the Commentary</w:t>
      </w:r>
    </w:p>
    <w:p w14:paraId="255FC760" w14:textId="3FC68036" w:rsidR="00E5606A" w:rsidRDefault="00E5606A" w:rsidP="00E5606A">
      <w:r>
        <w:t xml:space="preserve">In the pre-MSAC response, the applicant indicated that since the PL listing of a competitor product on 1 July 2019, the sales of CARGEL has </w:t>
      </w:r>
      <w:r w:rsidR="00DE169E" w:rsidRPr="00DE169E">
        <w:rPr>
          <w:b/>
        </w:rPr>
        <w:t>redacted</w:t>
      </w:r>
      <w:r>
        <w:t xml:space="preserve">. This </w:t>
      </w:r>
      <w:r w:rsidR="00DE169E" w:rsidRPr="00DE169E">
        <w:rPr>
          <w:b/>
        </w:rPr>
        <w:t>redacted</w:t>
      </w:r>
      <w:r>
        <w:t xml:space="preserve"> in CARGEL sales, which continues to </w:t>
      </w:r>
      <w:r w:rsidR="00DE169E" w:rsidRPr="00DE169E">
        <w:rPr>
          <w:b/>
        </w:rPr>
        <w:t>redacted</w:t>
      </w:r>
      <w:r>
        <w:t xml:space="preserve">, </w:t>
      </w:r>
      <w:proofErr w:type="gramStart"/>
      <w:r>
        <w:t>would also be linked</w:t>
      </w:r>
      <w:proofErr w:type="gramEnd"/>
      <w:r>
        <w:t xml:space="preserve"> with a </w:t>
      </w:r>
      <w:r w:rsidR="00DE169E" w:rsidRPr="00DE169E">
        <w:rPr>
          <w:b/>
        </w:rPr>
        <w:t>redacted</w:t>
      </w:r>
      <w:r>
        <w:t xml:space="preserve"> in the MBS costs ass</w:t>
      </w:r>
      <w:r w:rsidR="00AB4339">
        <w:t>ociated with the use of CARGEL.</w:t>
      </w:r>
    </w:p>
    <w:p w14:paraId="66706A31" w14:textId="11A07298" w:rsidR="0095363B" w:rsidRDefault="00E5606A" w:rsidP="00CE1414">
      <w:pPr>
        <w:spacing w:before="240"/>
      </w:pPr>
      <w:r>
        <w:t xml:space="preserve">Thus, the applicant considered that the continued listing of CARGEL on the PL will have no additional budget </w:t>
      </w:r>
      <w:r w:rsidR="00C252B3">
        <w:t>implications yet</w:t>
      </w:r>
      <w:r>
        <w:t xml:space="preserve"> will allow ongoing access for patients to a superior treatment option.</w:t>
      </w:r>
    </w:p>
    <w:p w14:paraId="5358E78A" w14:textId="77777777" w:rsidR="0095363B" w:rsidRDefault="0095363B">
      <w:r>
        <w:br w:type="page"/>
      </w:r>
    </w:p>
    <w:p w14:paraId="01A6D31D"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for MSAC"/>
      </w:tblPr>
      <w:tblGrid>
        <w:gridCol w:w="2405"/>
        <w:gridCol w:w="6611"/>
      </w:tblGrid>
      <w:tr w:rsidR="00467087" w14:paraId="44267E94" w14:textId="77777777" w:rsidTr="00891804">
        <w:trPr>
          <w:tblHeader/>
        </w:trPr>
        <w:tc>
          <w:tcPr>
            <w:tcW w:w="2405" w:type="dxa"/>
            <w:tcBorders>
              <w:top w:val="single" w:sz="4" w:space="0" w:color="auto"/>
              <w:left w:val="single" w:sz="4" w:space="0" w:color="auto"/>
              <w:bottom w:val="single" w:sz="4" w:space="0" w:color="auto"/>
              <w:right w:val="single" w:sz="4" w:space="0" w:color="auto"/>
            </w:tcBorders>
            <w:hideMark/>
          </w:tcPr>
          <w:p w14:paraId="77FDB5EE" w14:textId="77777777" w:rsidR="00467087" w:rsidRDefault="00467087">
            <w:pPr>
              <w:pStyle w:val="TableHeading"/>
              <w:keepNext w:val="0"/>
              <w:widowControl w:val="0"/>
              <w:rPr>
                <w:rFonts w:ascii="Times New Roman" w:hAnsi="Times New Roman" w:cs="Times New Roman"/>
                <w:lang w:eastAsia="en-US"/>
              </w:rPr>
            </w:pPr>
            <w:r>
              <w:rPr>
                <w:rFonts w:ascii="Times New Roman" w:hAnsi="Times New Roman" w:cs="Times New Roman"/>
                <w:lang w:eastAsia="en-US"/>
              </w:rPr>
              <w:t>ESC key issue</w:t>
            </w:r>
          </w:p>
        </w:tc>
        <w:tc>
          <w:tcPr>
            <w:tcW w:w="6611" w:type="dxa"/>
            <w:tcBorders>
              <w:top w:val="single" w:sz="4" w:space="0" w:color="auto"/>
              <w:left w:val="single" w:sz="4" w:space="0" w:color="auto"/>
              <w:bottom w:val="single" w:sz="4" w:space="0" w:color="auto"/>
              <w:right w:val="single" w:sz="4" w:space="0" w:color="auto"/>
            </w:tcBorders>
            <w:hideMark/>
          </w:tcPr>
          <w:p w14:paraId="5B3966B8" w14:textId="77777777" w:rsidR="00467087" w:rsidRDefault="00467087">
            <w:pPr>
              <w:pStyle w:val="TableHeading"/>
              <w:keepNext w:val="0"/>
              <w:widowControl w:val="0"/>
              <w:rPr>
                <w:rFonts w:ascii="Times New Roman" w:hAnsi="Times New Roman" w:cs="Times New Roman"/>
                <w:lang w:eastAsia="en-US"/>
              </w:rPr>
            </w:pPr>
            <w:r>
              <w:rPr>
                <w:rFonts w:ascii="Times New Roman" w:hAnsi="Times New Roman" w:cs="Times New Roman"/>
                <w:lang w:eastAsia="en-US"/>
              </w:rPr>
              <w:t>ESC advice to MSAC</w:t>
            </w:r>
          </w:p>
        </w:tc>
      </w:tr>
      <w:tr w:rsidR="00467087" w14:paraId="3883A390" w14:textId="77777777" w:rsidTr="00467087">
        <w:trPr>
          <w:trHeight w:val="42"/>
        </w:trPr>
        <w:tc>
          <w:tcPr>
            <w:tcW w:w="2405" w:type="dxa"/>
            <w:tcBorders>
              <w:top w:val="single" w:sz="4" w:space="0" w:color="auto"/>
              <w:left w:val="single" w:sz="4" w:space="0" w:color="auto"/>
              <w:bottom w:val="single" w:sz="4" w:space="0" w:color="auto"/>
              <w:right w:val="single" w:sz="4" w:space="0" w:color="auto"/>
            </w:tcBorders>
            <w:hideMark/>
          </w:tcPr>
          <w:p w14:paraId="13D2D686" w14:textId="77777777" w:rsidR="00467087" w:rsidRDefault="00467087">
            <w:pPr>
              <w:pStyle w:val="TableText"/>
              <w:keepNext w:val="0"/>
              <w:widowControl w:val="0"/>
              <w:rPr>
                <w:lang w:eastAsia="en-US"/>
              </w:rPr>
            </w:pPr>
            <w:r>
              <w:rPr>
                <w:lang w:eastAsia="en-US"/>
              </w:rPr>
              <w:t>Population</w:t>
            </w:r>
          </w:p>
        </w:tc>
        <w:tc>
          <w:tcPr>
            <w:tcW w:w="6611" w:type="dxa"/>
            <w:tcBorders>
              <w:top w:val="single" w:sz="4" w:space="0" w:color="auto"/>
              <w:left w:val="single" w:sz="4" w:space="0" w:color="auto"/>
              <w:bottom w:val="single" w:sz="4" w:space="0" w:color="auto"/>
              <w:right w:val="single" w:sz="4" w:space="0" w:color="auto"/>
            </w:tcBorders>
            <w:hideMark/>
          </w:tcPr>
          <w:p w14:paraId="1A7C9598" w14:textId="77777777" w:rsidR="00467087" w:rsidRDefault="00467087">
            <w:pPr>
              <w:pStyle w:val="TableText"/>
              <w:keepNext w:val="0"/>
              <w:widowControl w:val="0"/>
              <w:rPr>
                <w:vertAlign w:val="superscript"/>
                <w:lang w:eastAsia="en-US"/>
              </w:rPr>
            </w:pPr>
            <w:r>
              <w:rPr>
                <w:lang w:eastAsia="en-US"/>
              </w:rPr>
              <w:t>Evidence base is not analysed separately by lesion size (</w:t>
            </w:r>
            <w:proofErr w:type="gramStart"/>
            <w:r>
              <w:rPr>
                <w:lang w:eastAsia="en-US"/>
              </w:rPr>
              <w:t>2 cm</w:t>
            </w:r>
            <w:r>
              <w:rPr>
                <w:vertAlign w:val="superscript"/>
                <w:lang w:eastAsia="en-US"/>
              </w:rPr>
              <w:t>2</w:t>
            </w:r>
            <w:proofErr w:type="gramEnd"/>
            <w:r>
              <w:rPr>
                <w:vertAlign w:val="superscript"/>
                <w:lang w:eastAsia="en-US"/>
              </w:rPr>
              <w:t xml:space="preserve"> </w:t>
            </w:r>
            <w:r>
              <w:rPr>
                <w:lang w:eastAsia="en-US"/>
              </w:rPr>
              <w:t>threshold), as per PICO subpopulations- thus the clinical effectiveness of BST-</w:t>
            </w:r>
            <w:proofErr w:type="spellStart"/>
            <w:r>
              <w:rPr>
                <w:lang w:eastAsia="en-US"/>
              </w:rPr>
              <w:t>Cargel</w:t>
            </w:r>
            <w:proofErr w:type="spellEnd"/>
            <w:r>
              <w:rPr>
                <w:lang w:eastAsia="en-US"/>
              </w:rPr>
              <w:t xml:space="preserve"> for each subpopulation could not be determined.</w:t>
            </w:r>
          </w:p>
        </w:tc>
      </w:tr>
      <w:tr w:rsidR="00467087" w14:paraId="48653B5E" w14:textId="77777777" w:rsidTr="00467087">
        <w:trPr>
          <w:trHeight w:val="42"/>
        </w:trPr>
        <w:tc>
          <w:tcPr>
            <w:tcW w:w="2405" w:type="dxa"/>
            <w:tcBorders>
              <w:top w:val="single" w:sz="4" w:space="0" w:color="auto"/>
              <w:left w:val="single" w:sz="4" w:space="0" w:color="auto"/>
              <w:bottom w:val="single" w:sz="4" w:space="0" w:color="auto"/>
              <w:right w:val="single" w:sz="4" w:space="0" w:color="auto"/>
            </w:tcBorders>
            <w:hideMark/>
          </w:tcPr>
          <w:p w14:paraId="2D269FC2" w14:textId="77777777" w:rsidR="00467087" w:rsidRDefault="00467087">
            <w:pPr>
              <w:pStyle w:val="TableText"/>
              <w:keepNext w:val="0"/>
              <w:widowControl w:val="0"/>
              <w:rPr>
                <w:rFonts w:asciiTheme="minorHAnsi" w:hAnsiTheme="minorHAnsi"/>
                <w:lang w:eastAsia="en-US"/>
              </w:rPr>
            </w:pPr>
            <w:r>
              <w:rPr>
                <w:lang w:eastAsia="en-US"/>
              </w:rPr>
              <w:t>Safety</w:t>
            </w:r>
          </w:p>
        </w:tc>
        <w:tc>
          <w:tcPr>
            <w:tcW w:w="6611" w:type="dxa"/>
            <w:tcBorders>
              <w:top w:val="single" w:sz="4" w:space="0" w:color="auto"/>
              <w:left w:val="single" w:sz="4" w:space="0" w:color="auto"/>
              <w:bottom w:val="single" w:sz="4" w:space="0" w:color="auto"/>
              <w:right w:val="single" w:sz="4" w:space="0" w:color="auto"/>
            </w:tcBorders>
            <w:hideMark/>
          </w:tcPr>
          <w:p w14:paraId="3DCBA427" w14:textId="77777777" w:rsidR="00467087" w:rsidRDefault="00467087">
            <w:pPr>
              <w:pStyle w:val="TableText"/>
              <w:keepNext w:val="0"/>
              <w:widowControl w:val="0"/>
              <w:rPr>
                <w:lang w:eastAsia="en-US"/>
              </w:rPr>
            </w:pPr>
            <w:r>
              <w:rPr>
                <w:lang w:eastAsia="en-US"/>
              </w:rPr>
              <w:t xml:space="preserve">To note uncertainty due to the RCT using </w:t>
            </w:r>
            <w:proofErr w:type="spellStart"/>
            <w:r>
              <w:rPr>
                <w:lang w:eastAsia="en-US"/>
              </w:rPr>
              <w:t>arthrotomy</w:t>
            </w:r>
            <w:proofErr w:type="spellEnd"/>
            <w:r>
              <w:rPr>
                <w:lang w:eastAsia="en-US"/>
              </w:rPr>
              <w:t>, whereas clinical practice generally uses arthroscopy</w:t>
            </w:r>
          </w:p>
        </w:tc>
      </w:tr>
      <w:tr w:rsidR="00467087" w14:paraId="1F708A09" w14:textId="77777777" w:rsidTr="00467087">
        <w:trPr>
          <w:trHeight w:val="457"/>
        </w:trPr>
        <w:tc>
          <w:tcPr>
            <w:tcW w:w="2405" w:type="dxa"/>
            <w:tcBorders>
              <w:top w:val="single" w:sz="4" w:space="0" w:color="auto"/>
              <w:left w:val="single" w:sz="4" w:space="0" w:color="auto"/>
              <w:bottom w:val="single" w:sz="4" w:space="0" w:color="auto"/>
              <w:right w:val="single" w:sz="4" w:space="0" w:color="auto"/>
            </w:tcBorders>
            <w:hideMark/>
          </w:tcPr>
          <w:p w14:paraId="6EA35EC3" w14:textId="77777777" w:rsidR="00467087" w:rsidRDefault="00467087">
            <w:pPr>
              <w:pStyle w:val="TableText"/>
              <w:keepNext w:val="0"/>
              <w:widowControl w:val="0"/>
              <w:rPr>
                <w:lang w:eastAsia="en-US"/>
              </w:rPr>
            </w:pPr>
            <w:r>
              <w:rPr>
                <w:lang w:eastAsia="en-US"/>
              </w:rPr>
              <w:t>Structural outcomes as surrogates for patient-relevant outcomes</w:t>
            </w:r>
          </w:p>
        </w:tc>
        <w:tc>
          <w:tcPr>
            <w:tcW w:w="6611" w:type="dxa"/>
            <w:tcBorders>
              <w:top w:val="single" w:sz="4" w:space="0" w:color="auto"/>
              <w:left w:val="single" w:sz="4" w:space="0" w:color="auto"/>
              <w:bottom w:val="single" w:sz="4" w:space="0" w:color="auto"/>
              <w:right w:val="single" w:sz="4" w:space="0" w:color="auto"/>
            </w:tcBorders>
            <w:hideMark/>
          </w:tcPr>
          <w:p w14:paraId="0C7741F9" w14:textId="77777777" w:rsidR="00467087" w:rsidRDefault="00467087">
            <w:pPr>
              <w:pStyle w:val="TableText"/>
              <w:keepNext w:val="0"/>
              <w:widowControl w:val="0"/>
              <w:rPr>
                <w:rFonts w:asciiTheme="minorHAnsi" w:hAnsiTheme="minorHAnsi"/>
                <w:lang w:eastAsia="en-US"/>
              </w:rPr>
            </w:pPr>
            <w:r>
              <w:rPr>
                <w:lang w:eastAsia="en-US"/>
              </w:rPr>
              <w:t>There was high uncertainty whether the structural outcomes on MRI, which the clinical claim of superior effectiveness relied upon, are valid surrogates and correlate well enough with patient-relevant outcomes (e.g. WOMAC or SF-36). Furthermore, the pivotal trial failed to detect a difference in these patient relevant outcomes (albeit was not powered to do so).</w:t>
            </w:r>
          </w:p>
          <w:p w14:paraId="562AACEC" w14:textId="77777777" w:rsidR="00467087" w:rsidRDefault="00467087">
            <w:pPr>
              <w:pStyle w:val="TableText"/>
              <w:keepNext w:val="0"/>
              <w:widowControl w:val="0"/>
              <w:rPr>
                <w:lang w:eastAsia="en-US"/>
              </w:rPr>
            </w:pPr>
            <w:r>
              <w:rPr>
                <w:lang w:eastAsia="en-US"/>
              </w:rPr>
              <w:t xml:space="preserve">In addition, there was also uncertainty with the relevance of WOMAC outcome, as </w:t>
            </w:r>
            <w:proofErr w:type="gramStart"/>
            <w:r>
              <w:rPr>
                <w:lang w:eastAsia="en-US"/>
              </w:rPr>
              <w:t>it’s</w:t>
            </w:r>
            <w:proofErr w:type="gramEnd"/>
            <w:r>
              <w:rPr>
                <w:lang w:eastAsia="en-US"/>
              </w:rPr>
              <w:t xml:space="preserve"> validated in a different condition and population.</w:t>
            </w:r>
          </w:p>
          <w:p w14:paraId="3E38ADCE" w14:textId="77777777" w:rsidR="00467087" w:rsidRDefault="00467087">
            <w:pPr>
              <w:pStyle w:val="TableText"/>
              <w:keepNext w:val="0"/>
              <w:widowControl w:val="0"/>
              <w:rPr>
                <w:lang w:eastAsia="en-US"/>
              </w:rPr>
            </w:pPr>
            <w:r>
              <w:rPr>
                <w:lang w:eastAsia="en-US"/>
              </w:rPr>
              <w:t>To note Commentary that while ICRS score can be the same and “structural success” achieved, surgery may still be required</w:t>
            </w:r>
          </w:p>
        </w:tc>
      </w:tr>
      <w:tr w:rsidR="00467087" w14:paraId="35E2084D" w14:textId="77777777" w:rsidTr="00467087">
        <w:trPr>
          <w:trHeight w:val="392"/>
        </w:trPr>
        <w:tc>
          <w:tcPr>
            <w:tcW w:w="2405" w:type="dxa"/>
            <w:tcBorders>
              <w:top w:val="single" w:sz="4" w:space="0" w:color="auto"/>
              <w:left w:val="single" w:sz="4" w:space="0" w:color="auto"/>
              <w:bottom w:val="single" w:sz="4" w:space="0" w:color="auto"/>
              <w:right w:val="single" w:sz="4" w:space="0" w:color="auto"/>
            </w:tcBorders>
            <w:hideMark/>
          </w:tcPr>
          <w:p w14:paraId="3B6C38B6" w14:textId="77777777" w:rsidR="00467087" w:rsidRDefault="00467087">
            <w:pPr>
              <w:pStyle w:val="TableText"/>
              <w:keepNext w:val="0"/>
              <w:widowControl w:val="0"/>
              <w:rPr>
                <w:lang w:eastAsia="en-US"/>
              </w:rPr>
            </w:pPr>
            <w:r>
              <w:rPr>
                <w:lang w:eastAsia="en-US"/>
              </w:rPr>
              <w:t>Evidence base- comparative effectiveness – uncertain clinical benefit</w:t>
            </w:r>
          </w:p>
        </w:tc>
        <w:tc>
          <w:tcPr>
            <w:tcW w:w="6611" w:type="dxa"/>
            <w:tcBorders>
              <w:top w:val="single" w:sz="4" w:space="0" w:color="auto"/>
              <w:left w:val="single" w:sz="4" w:space="0" w:color="auto"/>
              <w:bottom w:val="single" w:sz="4" w:space="0" w:color="auto"/>
              <w:right w:val="single" w:sz="4" w:space="0" w:color="auto"/>
            </w:tcBorders>
            <w:hideMark/>
          </w:tcPr>
          <w:p w14:paraId="41C875DC" w14:textId="77777777" w:rsidR="00467087" w:rsidRDefault="00467087">
            <w:pPr>
              <w:pStyle w:val="TableText"/>
              <w:keepNext w:val="0"/>
              <w:widowControl w:val="0"/>
              <w:rPr>
                <w:rFonts w:asciiTheme="minorHAnsi" w:hAnsiTheme="minorHAnsi"/>
                <w:lang w:eastAsia="en-US"/>
              </w:rPr>
            </w:pPr>
            <w:r>
              <w:rPr>
                <w:lang w:eastAsia="en-US"/>
              </w:rPr>
              <w:t>Short term structural outcomes; relies upon one RCT up to 12 months with a potential conflict of interest.</w:t>
            </w:r>
          </w:p>
          <w:p w14:paraId="425E474C" w14:textId="4AF2A277" w:rsidR="00467087" w:rsidRDefault="00467087" w:rsidP="001C651D">
            <w:pPr>
              <w:pStyle w:val="TableText"/>
              <w:keepNext w:val="0"/>
              <w:widowControl w:val="0"/>
              <w:rPr>
                <w:lang w:eastAsia="en-US"/>
              </w:rPr>
            </w:pPr>
            <w:r>
              <w:rPr>
                <w:lang w:eastAsia="en-US"/>
              </w:rPr>
              <w:t>Longer term; data from the 5-year follow-up study is uncertain primarily from a high loss to follow-up.</w:t>
            </w:r>
          </w:p>
        </w:tc>
      </w:tr>
      <w:tr w:rsidR="00467087" w14:paraId="4E619D71" w14:textId="77777777" w:rsidTr="00467087">
        <w:trPr>
          <w:trHeight w:val="962"/>
        </w:trPr>
        <w:tc>
          <w:tcPr>
            <w:tcW w:w="2405" w:type="dxa"/>
            <w:tcBorders>
              <w:top w:val="single" w:sz="4" w:space="0" w:color="auto"/>
              <w:left w:val="single" w:sz="4" w:space="0" w:color="auto"/>
              <w:bottom w:val="single" w:sz="4" w:space="0" w:color="auto"/>
              <w:right w:val="single" w:sz="4" w:space="0" w:color="auto"/>
            </w:tcBorders>
            <w:hideMark/>
          </w:tcPr>
          <w:p w14:paraId="3B6535B5" w14:textId="77777777" w:rsidR="00467087" w:rsidRDefault="00467087">
            <w:pPr>
              <w:pStyle w:val="TableText"/>
              <w:keepNext w:val="0"/>
              <w:widowControl w:val="0"/>
              <w:rPr>
                <w:lang w:eastAsia="en-US"/>
              </w:rPr>
            </w:pPr>
            <w:r>
              <w:rPr>
                <w:lang w:eastAsia="en-US"/>
              </w:rPr>
              <w:t>Overall, little confidence in the health economic evaluation</w:t>
            </w:r>
          </w:p>
        </w:tc>
        <w:tc>
          <w:tcPr>
            <w:tcW w:w="6611" w:type="dxa"/>
            <w:tcBorders>
              <w:top w:val="single" w:sz="4" w:space="0" w:color="auto"/>
              <w:left w:val="single" w:sz="4" w:space="0" w:color="auto"/>
              <w:bottom w:val="single" w:sz="4" w:space="0" w:color="auto"/>
              <w:right w:val="single" w:sz="4" w:space="0" w:color="auto"/>
            </w:tcBorders>
            <w:hideMark/>
          </w:tcPr>
          <w:p w14:paraId="34CA4263" w14:textId="77777777" w:rsidR="00467087" w:rsidRDefault="00467087">
            <w:pPr>
              <w:pStyle w:val="TableText"/>
              <w:keepNext w:val="0"/>
              <w:widowControl w:val="0"/>
              <w:rPr>
                <w:lang w:eastAsia="en-US"/>
              </w:rPr>
            </w:pPr>
            <w:r>
              <w:rPr>
                <w:lang w:eastAsia="en-US"/>
              </w:rPr>
              <w:t xml:space="preserve">There are many uncertainties in health economic outcomes, mainly due to uncertain clinical benefit, uncertainty about subsequent treatments and the extrapolation of benefit over 20 years. </w:t>
            </w:r>
          </w:p>
        </w:tc>
      </w:tr>
      <w:tr w:rsidR="00467087" w14:paraId="147701FF" w14:textId="77777777" w:rsidTr="00467087">
        <w:trPr>
          <w:trHeight w:val="416"/>
        </w:trPr>
        <w:tc>
          <w:tcPr>
            <w:tcW w:w="2405" w:type="dxa"/>
            <w:tcBorders>
              <w:top w:val="single" w:sz="4" w:space="0" w:color="auto"/>
              <w:left w:val="single" w:sz="4" w:space="0" w:color="auto"/>
              <w:bottom w:val="single" w:sz="4" w:space="0" w:color="auto"/>
              <w:right w:val="single" w:sz="4" w:space="0" w:color="auto"/>
            </w:tcBorders>
            <w:hideMark/>
          </w:tcPr>
          <w:p w14:paraId="11E1CADA" w14:textId="77777777" w:rsidR="00467087" w:rsidRDefault="00467087">
            <w:pPr>
              <w:pStyle w:val="TableText"/>
              <w:keepNext w:val="0"/>
              <w:widowControl w:val="0"/>
              <w:rPr>
                <w:lang w:eastAsia="en-US"/>
              </w:rPr>
            </w:pPr>
            <w:r>
              <w:rPr>
                <w:lang w:eastAsia="en-US"/>
              </w:rPr>
              <w:t>Financial impact- continued listing</w:t>
            </w:r>
          </w:p>
        </w:tc>
        <w:tc>
          <w:tcPr>
            <w:tcW w:w="6611" w:type="dxa"/>
            <w:tcBorders>
              <w:top w:val="single" w:sz="4" w:space="0" w:color="auto"/>
              <w:left w:val="single" w:sz="4" w:space="0" w:color="auto"/>
              <w:bottom w:val="single" w:sz="4" w:space="0" w:color="auto"/>
              <w:right w:val="single" w:sz="4" w:space="0" w:color="auto"/>
            </w:tcBorders>
            <w:hideMark/>
          </w:tcPr>
          <w:p w14:paraId="1E2FB5A9" w14:textId="77777777" w:rsidR="00467087" w:rsidRDefault="00467087">
            <w:pPr>
              <w:pStyle w:val="TableText"/>
              <w:keepNext w:val="0"/>
              <w:widowControl w:val="0"/>
              <w:rPr>
                <w:rFonts w:asciiTheme="minorHAnsi" w:hAnsiTheme="minorHAnsi"/>
                <w:lang w:eastAsia="en-US"/>
              </w:rPr>
            </w:pPr>
            <w:r>
              <w:rPr>
                <w:lang w:eastAsia="en-US"/>
              </w:rPr>
              <w:t>Net cost impact of continued CARGEL reimbursement to the MBS is minimal.</w:t>
            </w:r>
          </w:p>
          <w:p w14:paraId="2758CB2B" w14:textId="77777777" w:rsidR="00467087" w:rsidRDefault="00467087">
            <w:pPr>
              <w:pStyle w:val="TableText"/>
              <w:keepNext w:val="0"/>
              <w:widowControl w:val="0"/>
              <w:rPr>
                <w:lang w:eastAsia="en-US"/>
              </w:rPr>
            </w:pPr>
            <w:r>
              <w:rPr>
                <w:lang w:eastAsia="en-US"/>
              </w:rPr>
              <w:t xml:space="preserve"> MSAC may wish to consider if uncertainties were sufficient to discuss alternatives to not continued listing/de-listing.</w:t>
            </w:r>
          </w:p>
        </w:tc>
      </w:tr>
      <w:tr w:rsidR="00467087" w14:paraId="6F3F38FD" w14:textId="77777777" w:rsidTr="00467087">
        <w:trPr>
          <w:trHeight w:val="656"/>
        </w:trPr>
        <w:tc>
          <w:tcPr>
            <w:tcW w:w="2405" w:type="dxa"/>
            <w:tcBorders>
              <w:top w:val="single" w:sz="4" w:space="0" w:color="auto"/>
              <w:left w:val="single" w:sz="4" w:space="0" w:color="auto"/>
              <w:bottom w:val="single" w:sz="4" w:space="0" w:color="auto"/>
              <w:right w:val="single" w:sz="4" w:space="0" w:color="auto"/>
            </w:tcBorders>
            <w:hideMark/>
          </w:tcPr>
          <w:p w14:paraId="34945127" w14:textId="77777777" w:rsidR="00467087" w:rsidRDefault="00467087">
            <w:pPr>
              <w:pStyle w:val="TableText"/>
              <w:keepNext w:val="0"/>
              <w:widowControl w:val="0"/>
              <w:rPr>
                <w:rFonts w:asciiTheme="minorHAnsi" w:hAnsiTheme="minorHAnsi"/>
                <w:lang w:eastAsia="en-US"/>
              </w:rPr>
            </w:pPr>
            <w:r>
              <w:rPr>
                <w:lang w:eastAsia="en-US"/>
              </w:rPr>
              <w:t>Billing Item number</w:t>
            </w:r>
          </w:p>
        </w:tc>
        <w:tc>
          <w:tcPr>
            <w:tcW w:w="6611" w:type="dxa"/>
            <w:tcBorders>
              <w:top w:val="single" w:sz="4" w:space="0" w:color="auto"/>
              <w:left w:val="single" w:sz="4" w:space="0" w:color="auto"/>
              <w:bottom w:val="single" w:sz="4" w:space="0" w:color="auto"/>
              <w:right w:val="single" w:sz="4" w:space="0" w:color="auto"/>
            </w:tcBorders>
            <w:hideMark/>
          </w:tcPr>
          <w:p w14:paraId="38FA23E1" w14:textId="77777777" w:rsidR="00467087" w:rsidRDefault="00467087">
            <w:pPr>
              <w:pStyle w:val="TableText"/>
              <w:keepNext w:val="0"/>
              <w:widowControl w:val="0"/>
              <w:rPr>
                <w:lang w:eastAsia="en-US"/>
              </w:rPr>
            </w:pPr>
            <w:r>
              <w:rPr>
                <w:lang w:eastAsia="en-US"/>
              </w:rPr>
              <w:t xml:space="preserve">MSAC to consider need for a separate MBS item number or amendment of the current number. The proposed ADAR fee is the same as MBS 49561 </w:t>
            </w:r>
          </w:p>
        </w:tc>
      </w:tr>
      <w:tr w:rsidR="00467087" w14:paraId="071DDC0F" w14:textId="77777777" w:rsidTr="00467087">
        <w:trPr>
          <w:trHeight w:val="440"/>
        </w:trPr>
        <w:tc>
          <w:tcPr>
            <w:tcW w:w="2405" w:type="dxa"/>
            <w:tcBorders>
              <w:top w:val="single" w:sz="4" w:space="0" w:color="auto"/>
              <w:left w:val="single" w:sz="4" w:space="0" w:color="auto"/>
              <w:bottom w:val="single" w:sz="4" w:space="0" w:color="auto"/>
              <w:right w:val="single" w:sz="4" w:space="0" w:color="auto"/>
            </w:tcBorders>
            <w:hideMark/>
          </w:tcPr>
          <w:p w14:paraId="677A4256" w14:textId="77777777" w:rsidR="00467087" w:rsidRDefault="00467087">
            <w:pPr>
              <w:pStyle w:val="TableText"/>
              <w:keepNext w:val="0"/>
              <w:widowControl w:val="0"/>
              <w:rPr>
                <w:lang w:eastAsia="en-US"/>
              </w:rPr>
            </w:pPr>
            <w:r>
              <w:rPr>
                <w:lang w:eastAsia="en-US"/>
              </w:rPr>
              <w:t>Consumer feedback</w:t>
            </w:r>
          </w:p>
        </w:tc>
        <w:tc>
          <w:tcPr>
            <w:tcW w:w="6611" w:type="dxa"/>
            <w:tcBorders>
              <w:top w:val="single" w:sz="4" w:space="0" w:color="auto"/>
              <w:left w:val="single" w:sz="4" w:space="0" w:color="auto"/>
              <w:bottom w:val="single" w:sz="4" w:space="0" w:color="auto"/>
              <w:right w:val="single" w:sz="4" w:space="0" w:color="auto"/>
            </w:tcBorders>
            <w:hideMark/>
          </w:tcPr>
          <w:p w14:paraId="584FC3F8" w14:textId="77777777" w:rsidR="00467087" w:rsidRDefault="00467087">
            <w:pPr>
              <w:pStyle w:val="TableText"/>
              <w:keepNext w:val="0"/>
              <w:widowControl w:val="0"/>
              <w:rPr>
                <w:lang w:eastAsia="en-US"/>
              </w:rPr>
            </w:pPr>
            <w:r>
              <w:rPr>
                <w:lang w:eastAsia="en-US"/>
              </w:rPr>
              <w:t>To note absence of consumer / support group feedback</w:t>
            </w:r>
          </w:p>
        </w:tc>
      </w:tr>
    </w:tbl>
    <w:p w14:paraId="705919E2" w14:textId="77777777" w:rsidR="006A0D97" w:rsidRDefault="00F56D7F" w:rsidP="0095363B">
      <w:pPr>
        <w:spacing w:before="240" w:after="120"/>
        <w:rPr>
          <w:b/>
        </w:rPr>
      </w:pPr>
      <w:r w:rsidRPr="00F56D7F">
        <w:rPr>
          <w:b/>
        </w:rPr>
        <w:t>ESC discussion</w:t>
      </w:r>
    </w:p>
    <w:p w14:paraId="1396D36F" w14:textId="0A427353" w:rsidR="00467087" w:rsidRDefault="00467087" w:rsidP="00467087">
      <w:r>
        <w:t>ESC noted that this application is from the Prosthes</w:t>
      </w:r>
      <w:r w:rsidR="001C651D">
        <w:t>e</w:t>
      </w:r>
      <w:r>
        <w:t>s List Advisory Committee (PLAC) requesting a health technology assessment (HTA) from MSAC for BST-CARGEL</w:t>
      </w:r>
      <w:r>
        <w:rPr>
          <w:vertAlign w:val="superscript"/>
        </w:rPr>
        <w:t>TM</w:t>
      </w:r>
      <w:r>
        <w:t xml:space="preserve"> to determine the clinical- and cost-effectiveness of this product, and to clarify the appropriateness of MBS item 49561. ESC also noted that BST-CARGEL </w:t>
      </w:r>
      <w:proofErr w:type="gramStart"/>
      <w:r>
        <w:t>has been reimbursed</w:t>
      </w:r>
      <w:proofErr w:type="gramEnd"/>
      <w:r>
        <w:t xml:space="preserve"> via the MBS and the Prosthes</w:t>
      </w:r>
      <w:r w:rsidR="001C651D">
        <w:t>e</w:t>
      </w:r>
      <w:r>
        <w:t>s List (PL) since August 2015, with the PL listing not limited by joint location. ESC recalled that PASC recommended that the HTA be restricted to the knee, given</w:t>
      </w:r>
      <w:r w:rsidR="00CE1414">
        <w:t xml:space="preserve"> most evidence relates to this.</w:t>
      </w:r>
    </w:p>
    <w:p w14:paraId="764845CA" w14:textId="3BD9B487" w:rsidR="00467087" w:rsidRDefault="00467087" w:rsidP="00CE1414">
      <w:pPr>
        <w:spacing w:before="240"/>
      </w:pPr>
      <w:r>
        <w:t>ESC noted that the populations were not analysed separately (or disaggregated) by lesion size (</w:t>
      </w:r>
      <w:proofErr w:type="gramStart"/>
      <w:r>
        <w:t>2 cm</w:t>
      </w:r>
      <w:r>
        <w:rPr>
          <w:vertAlign w:val="superscript"/>
        </w:rPr>
        <w:t>2</w:t>
      </w:r>
      <w:proofErr w:type="gramEnd"/>
      <w:r>
        <w:t xml:space="preserve"> threshold). Thus, whether the clinical effectiveness of BST-</w:t>
      </w:r>
      <w:proofErr w:type="spellStart"/>
      <w:r>
        <w:t>Cargel</w:t>
      </w:r>
      <w:proofErr w:type="spellEnd"/>
      <w:r>
        <w:t xml:space="preserve"> differs for each subpopulation could not be determined. However, ESC also ag</w:t>
      </w:r>
      <w:r w:rsidR="00B13F9D">
        <w:t>reed with the applicant in the</w:t>
      </w:r>
      <w:r>
        <w:t xml:space="preserve"> pre-ESC response, that this might be acceptable because the comparator is microfracture (MF) for both subpopulations in Australia. ESC also recalled PASC advice, which noted while the view that size is important is widely held by clinical </w:t>
      </w:r>
      <w:proofErr w:type="gramStart"/>
      <w:r>
        <w:t>experts,</w:t>
      </w:r>
      <w:proofErr w:type="gramEnd"/>
      <w:r>
        <w:t xml:space="preserve"> there is no clear evidence that size is important, and no standard/accepte</w:t>
      </w:r>
      <w:r w:rsidR="00CE1414">
        <w:t>d clinical practice guidelines.</w:t>
      </w:r>
    </w:p>
    <w:p w14:paraId="1AB46B12" w14:textId="131CD1A6" w:rsidR="00467087" w:rsidRDefault="00467087" w:rsidP="00CE1414">
      <w:pPr>
        <w:spacing w:before="240"/>
      </w:pPr>
      <w:r>
        <w:lastRenderedPageBreak/>
        <w:t>ESC also noted that there are no restrictions on age or body mass index (BMI) in the proposed population. ESC recalled PASC advice, which considered that there is no reason to impose an upper age limit, but acknowledged that MSAC may choose to have an age limit in the MBS item descriptor. ESC noted that the applicant is committed to working with the Department to finalise a suitable item descriptor dependent on the preferred approach (new MBS item code, as suggested by PASC [</w:t>
      </w:r>
      <w:r w:rsidR="00CE1414" w:rsidRPr="0095363B">
        <w:rPr>
          <w:szCs w:val="24"/>
        </w:rPr>
        <w:fldChar w:fldCharType="begin"/>
      </w:r>
      <w:r w:rsidR="00CE1414" w:rsidRPr="0095363B">
        <w:rPr>
          <w:szCs w:val="24"/>
        </w:rPr>
        <w:instrText xml:space="preserve"> REF _Ref50386736 \h </w:instrText>
      </w:r>
      <w:r w:rsidR="0095363B" w:rsidRPr="0095363B">
        <w:rPr>
          <w:szCs w:val="24"/>
        </w:rPr>
        <w:instrText xml:space="preserve"> \* MERGEFORMAT </w:instrText>
      </w:r>
      <w:r w:rsidR="00CE1414" w:rsidRPr="0095363B">
        <w:rPr>
          <w:szCs w:val="24"/>
        </w:rPr>
      </w:r>
      <w:r w:rsidR="00CE1414" w:rsidRPr="0095363B">
        <w:rPr>
          <w:szCs w:val="24"/>
        </w:rPr>
        <w:fldChar w:fldCharType="separate"/>
      </w:r>
      <w:r w:rsidR="0095363B" w:rsidRPr="0095363B">
        <w:rPr>
          <w:szCs w:val="24"/>
        </w:rPr>
        <w:t xml:space="preserve">Table </w:t>
      </w:r>
      <w:r w:rsidR="0095363B" w:rsidRPr="0095363B">
        <w:rPr>
          <w:noProof/>
          <w:szCs w:val="24"/>
        </w:rPr>
        <w:t>2</w:t>
      </w:r>
      <w:r w:rsidR="00CE1414" w:rsidRPr="0095363B">
        <w:rPr>
          <w:szCs w:val="24"/>
        </w:rPr>
        <w:fldChar w:fldCharType="end"/>
      </w:r>
      <w:r>
        <w:t xml:space="preserve">], amended MBS item code, or unchanged MBS item code), and that the proposed fee for this service is identical to that of existing MBS item 49561. ESC also noted that these issues have not been resolved yet. In addition, ESC noted that the word ‘focal’ </w:t>
      </w:r>
      <w:proofErr w:type="gramStart"/>
      <w:r>
        <w:t>was used</w:t>
      </w:r>
      <w:proofErr w:type="gramEnd"/>
      <w:r>
        <w:t xml:space="preserve"> in the application title but </w:t>
      </w:r>
      <w:r w:rsidR="00CE1414">
        <w:t>not in the MBS item descriptor.</w:t>
      </w:r>
    </w:p>
    <w:p w14:paraId="3CB1EB1C" w14:textId="7E81C52A" w:rsidR="00467087" w:rsidRDefault="00467087" w:rsidP="00CE1414">
      <w:pPr>
        <w:spacing w:before="240"/>
      </w:pPr>
      <w:r>
        <w:t>ESC considered the clinical management algorithm presented in the ADAR, noting its consistency with the ratified PICO.  ESC noted the Commentary consulted an independent clinical expert who stated that MF surgery is appropriate for the treatment of knee cartilage lesions of up to 5cm</w:t>
      </w:r>
      <w:r>
        <w:rPr>
          <w:vertAlign w:val="superscript"/>
        </w:rPr>
        <w:t>2</w:t>
      </w:r>
      <w:r>
        <w:t>. ESC also noted that age and level of activity of the patient are important considerations, which are</w:t>
      </w:r>
      <w:r w:rsidR="00CE1414">
        <w:t xml:space="preserve"> not included in the algorithm.</w:t>
      </w:r>
    </w:p>
    <w:p w14:paraId="10957594" w14:textId="4612834C" w:rsidR="00467087" w:rsidRDefault="00467087" w:rsidP="00CE1414">
      <w:pPr>
        <w:spacing w:before="240"/>
      </w:pPr>
      <w:r>
        <w:t xml:space="preserve">ESC noted that the ADAR relied upon one randomised controlled trial (RCT) comparing </w:t>
      </w:r>
      <w:proofErr w:type="spellStart"/>
      <w:r>
        <w:t>BST-Cargel+MF</w:t>
      </w:r>
      <w:proofErr w:type="spellEnd"/>
      <w:r>
        <w:t xml:space="preserve"> </w:t>
      </w:r>
      <w:r>
        <w:rPr>
          <w:i/>
        </w:rPr>
        <w:t>vs.</w:t>
      </w:r>
      <w:r>
        <w:t xml:space="preserve"> MF (</w:t>
      </w:r>
      <w:proofErr w:type="spellStart"/>
      <w:r>
        <w:t>Stanish</w:t>
      </w:r>
      <w:proofErr w:type="spellEnd"/>
      <w:r>
        <w:t xml:space="preserve"> et al. 2013; n=80) over 12 months which had a potential conflict of interest because the sponsor owned the company at the time. ESC noted that there are serious concerns regarding bias with the data from the 5-year follow-up study (Shive et al 2015; n=67), primarily from high loss to follow-up (attrition bias). ESC also noted that the extension study by Shive et al. reasoned that significant loss to follow-up was partly because the original trial sponsor went bankrupt, and due to a period of transition from the current trial sponsor. ESC noted that the applicant agr</w:t>
      </w:r>
      <w:r w:rsidR="00B13F9D">
        <w:t>eed with the Commentary in the</w:t>
      </w:r>
      <w:r>
        <w:t xml:space="preserve"> pre-ESC response, which considered that the concerns regarding bias with the data from the 5-year follow-up study are well justified. ESC considered that this limits the evaluation of clinical effectiveness to 12 months.</w:t>
      </w:r>
    </w:p>
    <w:p w14:paraId="4E2C1BD0" w14:textId="00C329AE" w:rsidR="00467087" w:rsidRDefault="00467087" w:rsidP="00CE1414">
      <w:pPr>
        <w:spacing w:before="240"/>
      </w:pPr>
      <w:r>
        <w:t>ESC also noted that risk of bias using GRADE was done incorrectly as it was done on study level not on outcome level, which al</w:t>
      </w:r>
      <w:r w:rsidR="00CE1414">
        <w:t>so was noted in the Commentary.</w:t>
      </w:r>
    </w:p>
    <w:p w14:paraId="18D5802E" w14:textId="24B75143" w:rsidR="00467087" w:rsidRDefault="00467087" w:rsidP="00CE1414">
      <w:pPr>
        <w:spacing w:before="240"/>
      </w:pPr>
      <w:r>
        <w:t xml:space="preserve">Regarding comparative safety, ESC noted that the reported adverse events in the pivotal trial may be an over-estimate, as in the pivotal trial the product </w:t>
      </w:r>
      <w:proofErr w:type="gramStart"/>
      <w:r>
        <w:t>was delivered</w:t>
      </w:r>
      <w:proofErr w:type="gramEnd"/>
      <w:r>
        <w:t xml:space="preserve"> via an </w:t>
      </w:r>
      <w:proofErr w:type="spellStart"/>
      <w:r>
        <w:t>arthrotomy</w:t>
      </w:r>
      <w:proofErr w:type="spellEnd"/>
      <w:r>
        <w:t xml:space="preserve">, rather than arthroscopically, which is what would be performed in Australian practice. ESC agreed with the Commentary who concluded that the clinical claim of non-inferior safety is justified for both the short term (12-month follow-up) and longer term </w:t>
      </w:r>
      <w:r w:rsidR="00CE1414">
        <w:t>(5-year follow-up).</w:t>
      </w:r>
    </w:p>
    <w:p w14:paraId="7859C150" w14:textId="336C837D" w:rsidR="00467087" w:rsidRDefault="00467087" w:rsidP="00CE1414">
      <w:pPr>
        <w:spacing w:before="240"/>
      </w:pPr>
      <w:r>
        <w:t xml:space="preserve">Regarding comparative effectiveness, ESC noted the primary outcome of the pivotal trial was structural outcomes (degree of lesion fill </w:t>
      </w:r>
      <w:proofErr w:type="gramStart"/>
      <w:r>
        <w:t>%</w:t>
      </w:r>
      <w:proofErr w:type="gramEnd"/>
      <w:r>
        <w:t xml:space="preserve">, repair cartilage T2 relaxation time and structural success [% fill &gt; 70%]), as measured by magnetic resonance imaging (MRI). ESC noted that the claim of superior clinical effectiveness relied upon statistically significant differences in these outcomes, despite no known minimum clinically important differences (MCIDs).  Moreover, ESC considered there was high uncertainty whether these structural outcomes on MRI are valid surrogates and correlate well enough with Western Ontario and McMaster Universities Osteoarthritis Index (WOMAC) scores, or with other patient-relevant outcomes (e.g. Short Form Health Survey- 36 item; SF-36). ESC noted for these patient-relevant outcomes there was no statistically significant difference between intervention and comparator, but noted the pivotal RCT </w:t>
      </w:r>
      <w:proofErr w:type="gramStart"/>
      <w:r>
        <w:t>was not powered</w:t>
      </w:r>
      <w:proofErr w:type="gramEnd"/>
      <w:r>
        <w:t xml:space="preserve"> to detect a difference, and thus the interpretation is subject to uncertainty. ESC noted the pre-ESC response, which the applicant considered there was moderate correlation between MRI parameters and clinical outcomes (Blackman 2013, de </w:t>
      </w:r>
      <w:proofErr w:type="spellStart"/>
      <w:r>
        <w:t>Windt</w:t>
      </w:r>
      <w:proofErr w:type="spellEnd"/>
      <w:r>
        <w:t xml:space="preserve"> 2013). However, ESC noted that Blackman 2013 included </w:t>
      </w:r>
      <w:r>
        <w:lastRenderedPageBreak/>
        <w:t>different procedures and the clinical outcomes that are not direct measures of pain su</w:t>
      </w:r>
      <w:r w:rsidR="00CE1414">
        <w:t>ch as with the WOMAC and SF-36.</w:t>
      </w:r>
    </w:p>
    <w:p w14:paraId="6A832AE1" w14:textId="46A621F0" w:rsidR="00467087" w:rsidRDefault="00467087" w:rsidP="00CE1414">
      <w:pPr>
        <w:spacing w:before="240"/>
      </w:pPr>
      <w:r>
        <w:t xml:space="preserve">ESC also noted that the WOMAC score as an outcome had applicability concerns as it </w:t>
      </w:r>
      <w:proofErr w:type="gramStart"/>
      <w:r>
        <w:t>was validated</w:t>
      </w:r>
      <w:proofErr w:type="gramEnd"/>
      <w:r>
        <w:t xml:space="preserve"> in a different population: people with osteoarthritis of the hip and knee, rather than proposed population with focal cartilage lesions of the knee. Overall, ESC considered the superior effectiveness claim was uncertain, and in particular over the longer term, for which there w</w:t>
      </w:r>
      <w:r w:rsidR="00CE1414">
        <w:t>as an absence of reliable data.</w:t>
      </w:r>
    </w:p>
    <w:p w14:paraId="4510DC0B" w14:textId="06B2284E" w:rsidR="00467087" w:rsidRDefault="00467087" w:rsidP="00CE1414">
      <w:pPr>
        <w:spacing w:before="240"/>
      </w:pPr>
      <w:r>
        <w:t>ESC considered the economic evaluations that included a trial-based cost-effectiveness analysis (CEA) and modelled cost-utility analysis (CUA) over 20 years as the base case model. ESC noted the CEA outcome was structural success, which ESC noted the applicant considered the incremental cost-effectiveness ratio (ICER) of $</w:t>
      </w:r>
      <w:r w:rsidR="001647CA" w:rsidRPr="001647CA">
        <w:rPr>
          <w:b/>
        </w:rPr>
        <w:t>redacted</w:t>
      </w:r>
      <w:r>
        <w:t xml:space="preserve"> per additional patient with lesion fill response to support value for money for CARGEL+MF </w:t>
      </w:r>
      <w:r>
        <w:rPr>
          <w:i/>
        </w:rPr>
        <w:t>vs.</w:t>
      </w:r>
      <w:r>
        <w:t xml:space="preserve"> MF.</w:t>
      </w:r>
    </w:p>
    <w:p w14:paraId="1C786468" w14:textId="59FE7367" w:rsidR="00467087" w:rsidRDefault="00467087" w:rsidP="00286D01">
      <w:pPr>
        <w:spacing w:before="240"/>
      </w:pPr>
      <w:r>
        <w:t xml:space="preserve">ESC noted the structure of the ADAR’s CUA model, which was a Markov model with six health states, but effectively become condensed into a four-state model, including that the probability of regression of patients in the success health state is set to zero in the base case. ESC also noted that the base-case model extrapolates outcomes observed at 12 months over the entire 20-year period such that outcomes achieved at 12 months </w:t>
      </w:r>
      <w:proofErr w:type="gramStart"/>
      <w:r>
        <w:t>are maintained</w:t>
      </w:r>
      <w:proofErr w:type="gramEnd"/>
      <w:r>
        <w:t xml:space="preserve"> at the same level over a period of 20 years. ESC considered this to be highly unrealistic and noted that the independent expert advice provided in the Commentary suggested MF is not considered a long-term cure and often, patients go on to other procedures later in life. ESC also noted that the Commentary’s additional analyses including more realistic scenarios with regression of treatment effect and subsequent treatments resulted in m</w:t>
      </w:r>
      <w:r w:rsidR="00CE1414">
        <w:t xml:space="preserve">uch higher ICERs (see </w:t>
      </w:r>
      <w:r w:rsidR="00CE1414" w:rsidRPr="0095363B">
        <w:rPr>
          <w:szCs w:val="24"/>
        </w:rPr>
        <w:fldChar w:fldCharType="begin"/>
      </w:r>
      <w:r w:rsidR="00CE1414" w:rsidRPr="0095363B">
        <w:rPr>
          <w:szCs w:val="24"/>
        </w:rPr>
        <w:instrText xml:space="preserve"> REF _Ref50387223 \h </w:instrText>
      </w:r>
      <w:r w:rsidR="0095363B" w:rsidRPr="0095363B">
        <w:rPr>
          <w:szCs w:val="24"/>
        </w:rPr>
        <w:instrText xml:space="preserve"> \* MERGEFORMAT </w:instrText>
      </w:r>
      <w:r w:rsidR="00CE1414" w:rsidRPr="0095363B">
        <w:rPr>
          <w:szCs w:val="24"/>
        </w:rPr>
      </w:r>
      <w:r w:rsidR="00CE1414" w:rsidRPr="0095363B">
        <w:rPr>
          <w:szCs w:val="24"/>
        </w:rPr>
        <w:fldChar w:fldCharType="separate"/>
      </w:r>
      <w:r w:rsidR="0095363B" w:rsidRPr="0095363B">
        <w:rPr>
          <w:szCs w:val="24"/>
        </w:rPr>
        <w:t xml:space="preserve">Table </w:t>
      </w:r>
      <w:r w:rsidR="0095363B" w:rsidRPr="0095363B">
        <w:rPr>
          <w:noProof/>
          <w:szCs w:val="24"/>
        </w:rPr>
        <w:t>8</w:t>
      </w:r>
      <w:r w:rsidR="00CE1414" w:rsidRPr="0095363B">
        <w:rPr>
          <w:szCs w:val="24"/>
        </w:rPr>
        <w:fldChar w:fldCharType="end"/>
      </w:r>
      <w:r w:rsidR="00CE1414">
        <w:t>).</w:t>
      </w:r>
    </w:p>
    <w:p w14:paraId="010C0D74" w14:textId="52123C3A" w:rsidR="00467087" w:rsidRDefault="00467087" w:rsidP="00CE1414">
      <w:pPr>
        <w:spacing w:before="240"/>
      </w:pPr>
      <w:proofErr w:type="gramStart"/>
      <w:r>
        <w:t>ESC also noted additional uncertainty in the base-case model due to: the ADAR’s decision to derive a binary measure of clinical success, via application of a correlation coefficient to the surrogate outcome (structural success); and quality-adjusted life year (QALY) was also derived via a series of transformations and assumptions which resulted in QALY gain for BST-</w:t>
      </w:r>
      <w:proofErr w:type="spellStart"/>
      <w:r>
        <w:t>Cargel</w:t>
      </w:r>
      <w:proofErr w:type="spellEnd"/>
      <w:r>
        <w:t xml:space="preserve"> over MF, which could not be validated with clinical evidence</w:t>
      </w:r>
      <w:r w:rsidR="00CE1414">
        <w:t xml:space="preserve"> for patient-relevant outcomes.</w:t>
      </w:r>
      <w:proofErr w:type="gramEnd"/>
    </w:p>
    <w:p w14:paraId="558788DB" w14:textId="1F77CB08" w:rsidR="00467087" w:rsidRDefault="00467087" w:rsidP="00CE1414">
      <w:pPr>
        <w:spacing w:before="240"/>
      </w:pPr>
      <w:r>
        <w:t>ESC noted the Commentary made small technical changes to update the base case; however considered these did not reduce the uncertainty in the model. Overall, ESC agreed with the Commentary, which considered that the uncertainty in the economic model is largely a result of poor-quality clinical data, of which usable results are limited to 12-month structural outcomes, resulting in little confide</w:t>
      </w:r>
      <w:r w:rsidR="00CE1414">
        <w:t>nce in the economic evaluation.</w:t>
      </w:r>
    </w:p>
    <w:p w14:paraId="750E91DF" w14:textId="2A4D831E" w:rsidR="00467087" w:rsidRDefault="00467087" w:rsidP="00CE1414">
      <w:pPr>
        <w:spacing w:before="240"/>
      </w:pPr>
      <w:r>
        <w:t xml:space="preserve">ESC noted that because BST-CARGEL </w:t>
      </w:r>
      <w:proofErr w:type="gramStart"/>
      <w:r>
        <w:t>is already reimbursed</w:t>
      </w:r>
      <w:proofErr w:type="gramEnd"/>
      <w:r>
        <w:t xml:space="preserve"> on the MBS, continued listing h</w:t>
      </w:r>
      <w:r w:rsidR="00CE1414">
        <w:t>as no budget implications.</w:t>
      </w:r>
    </w:p>
    <w:p w14:paraId="38B537B1" w14:textId="7D4DBF45" w:rsidR="00467087" w:rsidRDefault="00467087" w:rsidP="00CE1414">
      <w:pPr>
        <w:spacing w:before="240"/>
      </w:pPr>
      <w:r>
        <w:t>ESC considered that the out-of-pocket costs are likely to be high due to extensive physiotherapy rehabilitation, MRI and other tests, specialist visits, surgery, and hospital stay</w:t>
      </w:r>
      <w:r w:rsidR="00CE1414">
        <w:t>s and potential loss of income.</w:t>
      </w:r>
    </w:p>
    <w:p w14:paraId="28A5EFB6" w14:textId="4FB62B1B" w:rsidR="00467087" w:rsidRDefault="00467087" w:rsidP="00CE1414">
      <w:pPr>
        <w:spacing w:before="240"/>
      </w:pPr>
      <w:r>
        <w:t>ESC noted that the request is to evaluate CARGEL</w:t>
      </w:r>
      <w:r>
        <w:rPr>
          <w:vertAlign w:val="superscript"/>
        </w:rPr>
        <w:t>TM</w:t>
      </w:r>
      <w:r>
        <w:t xml:space="preserve"> for continued listing on the PL. ESC queried the level of evidence required to de-list a product that </w:t>
      </w:r>
      <w:proofErr w:type="gramStart"/>
      <w:r>
        <w:t>has been listed on the PL and reimbursed via MBS since 2015</w:t>
      </w:r>
      <w:proofErr w:type="gramEnd"/>
      <w:r>
        <w:t xml:space="preserve">. However, ESC noted that the removal of items from the PL and decisions about ongoing PL listing </w:t>
      </w:r>
      <w:proofErr w:type="gramStart"/>
      <w:r>
        <w:t>will</w:t>
      </w:r>
      <w:proofErr w:type="gramEnd"/>
      <w:r>
        <w:t xml:space="preserve"> be made by the Minister’s delegate based on</w:t>
      </w:r>
      <w:r w:rsidR="00CE1414">
        <w:t xml:space="preserve"> PLAC advice and other factors.</w:t>
      </w:r>
    </w:p>
    <w:p w14:paraId="25D903B1" w14:textId="27F31FB5" w:rsidR="00467087" w:rsidRPr="00CE1414" w:rsidRDefault="00467087" w:rsidP="00CE1414">
      <w:pPr>
        <w:spacing w:before="240"/>
      </w:pPr>
      <w:r>
        <w:lastRenderedPageBreak/>
        <w:t xml:space="preserve">ESC also considered that, if this were a new submission, </w:t>
      </w:r>
      <w:proofErr w:type="gramStart"/>
      <w:r>
        <w:t>more rigorous evidence</w:t>
      </w:r>
      <w:proofErr w:type="gramEnd"/>
      <w:r>
        <w:t xml:space="preserve"> would b</w:t>
      </w:r>
      <w:r w:rsidR="00CE1414">
        <w:t>e required for decision making.</w:t>
      </w:r>
    </w:p>
    <w:p w14:paraId="116F6BAE" w14:textId="77777777" w:rsidR="00D90A38" w:rsidRPr="00F715D1" w:rsidRDefault="00BC1364" w:rsidP="00F715D1">
      <w:pPr>
        <w:pStyle w:val="Heading1"/>
      </w:pPr>
      <w:r w:rsidRPr="00F715D1">
        <w:t>Other significant factors</w:t>
      </w:r>
    </w:p>
    <w:p w14:paraId="7A82B109" w14:textId="77777777" w:rsidR="00BC1364" w:rsidRPr="00B13F9D" w:rsidRDefault="00B13F9D" w:rsidP="00F715D1">
      <w:pPr>
        <w:spacing w:after="240"/>
        <w:rPr>
          <w:szCs w:val="24"/>
        </w:rPr>
      </w:pPr>
      <w:r w:rsidRPr="00B13F9D">
        <w:rPr>
          <w:szCs w:val="24"/>
        </w:rPr>
        <w:t>Nil.</w:t>
      </w:r>
    </w:p>
    <w:p w14:paraId="02CE9F05"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3FDA996E" w14:textId="77777777" w:rsidR="00040B1D" w:rsidRPr="00CC11F9" w:rsidRDefault="00040B1D" w:rsidP="00040B1D">
      <w:r w:rsidRPr="00CC11F9">
        <w:t xml:space="preserve">Smith &amp; Nephew is disappointed with the outcome from this MSAC evaluation of CARGEL – a product </w:t>
      </w:r>
      <w:proofErr w:type="gramStart"/>
      <w:r w:rsidRPr="00CC11F9">
        <w:t>which</w:t>
      </w:r>
      <w:proofErr w:type="gramEnd"/>
      <w:r w:rsidRPr="00CC11F9">
        <w:t xml:space="preserve"> has been listed on the Prostheses List since 2015 and used globally without any safety nor effectiveness concerns to date.  Smith &amp; Nephew will work with the Prostheses List Advisory Committee and the Department of Health to ensure that Australian patients can continue to have equitable access to CARGEL via ongoing listing on the Prostheses List. </w:t>
      </w:r>
    </w:p>
    <w:p w14:paraId="4FE6DEB2" w14:textId="77777777" w:rsidR="00BC1364" w:rsidRPr="00F715D1" w:rsidRDefault="00271F18" w:rsidP="00F715D1">
      <w:pPr>
        <w:pStyle w:val="Heading1"/>
      </w:pPr>
      <w:r w:rsidRPr="00F715D1">
        <w:t>Further information on MSAC</w:t>
      </w:r>
    </w:p>
    <w:p w14:paraId="66FA23BC"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2" w:tooltip="Link to Medical Services Advisory Committee website" w:history="1">
        <w:r w:rsidR="00BC2667" w:rsidRPr="00F715D1">
          <w:rPr>
            <w:rStyle w:val="Hyperlink"/>
            <w:szCs w:val="24"/>
          </w:rPr>
          <w:t>visit the MSAC website</w:t>
        </w:r>
      </w:hyperlink>
    </w:p>
    <w:sectPr w:rsidR="00BC1364" w:rsidRPr="00F715D1" w:rsidSect="00467087">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0545" w16cex:dateUtc="2020-08-30T00:57:00Z"/>
  <w16cex:commentExtensible w16cex:durableId="22F60544" w16cex:dateUtc="2020-08-30T00:59:00Z"/>
  <w16cex:commentExtensible w16cex:durableId="22F6054B" w16cex:dateUtc="2020-08-30T01:00:00Z"/>
  <w16cex:commentExtensible w16cex:durableId="22F604AF" w16cex:dateUtc="2020-08-30T00:57:00Z"/>
  <w16cex:commentExtensible w16cex:durableId="22F6051B" w16cex:dateUtc="2020-08-30T00:59:00Z"/>
  <w16cex:commentExtensible w16cex:durableId="22F605D1" w16cex:dateUtc="2020-08-30T01:02:00Z"/>
  <w16cex:commentExtensible w16cex:durableId="22F606D6" w16cex:dateUtc="2020-08-30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5318F4" w16cid:durableId="231EFF3B"/>
  <w16cid:commentId w16cid:paraId="3D92362A" w16cid:durableId="231F02A1"/>
  <w16cid:commentId w16cid:paraId="50523860" w16cid:durableId="231EFF3C"/>
  <w16cid:commentId w16cid:paraId="54FDA86D" w16cid:durableId="231F02AC"/>
  <w16cid:commentId w16cid:paraId="78C840A9" w16cid:durableId="231EFF3D"/>
  <w16cid:commentId w16cid:paraId="775A22D5" w16cid:durableId="231F02C9"/>
  <w16cid:commentId w16cid:paraId="2CDB1EBB" w16cid:durableId="231EFF3E"/>
  <w16cid:commentId w16cid:paraId="14CEF4D3" w16cid:durableId="231F041C"/>
  <w16cid:commentId w16cid:paraId="1F988032" w16cid:durableId="231EFF3F"/>
  <w16cid:commentId w16cid:paraId="3EEB73E5" w16cid:durableId="231F0460"/>
  <w16cid:commentId w16cid:paraId="562A51F3" w16cid:durableId="231EFF40"/>
  <w16cid:commentId w16cid:paraId="5DA6C861" w16cid:durableId="231F04B5"/>
  <w16cid:commentId w16cid:paraId="0ADA99FC" w16cid:durableId="231EFF41"/>
  <w16cid:commentId w16cid:paraId="027612D3" w16cid:durableId="231F0564"/>
  <w16cid:commentId w16cid:paraId="5E64091D" w16cid:durableId="231EFF42"/>
  <w16cid:commentId w16cid:paraId="2D60B961" w16cid:durableId="231F0577"/>
  <w16cid:commentId w16cid:paraId="77B9146A" w16cid:durableId="231EFF43"/>
  <w16cid:commentId w16cid:paraId="2B7FC03C" w16cid:durableId="231F06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FDDAC" w14:textId="77777777" w:rsidR="00021039" w:rsidRDefault="00021039" w:rsidP="00065623">
      <w:r>
        <w:separator/>
      </w:r>
    </w:p>
  </w:endnote>
  <w:endnote w:type="continuationSeparator" w:id="0">
    <w:p w14:paraId="428DABED" w14:textId="77777777" w:rsidR="00021039" w:rsidRDefault="00021039"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07FA" w14:textId="77777777" w:rsidR="00021039" w:rsidRDefault="00021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51079"/>
      <w:docPartObj>
        <w:docPartGallery w:val="Page Numbers (Bottom of Page)"/>
        <w:docPartUnique/>
      </w:docPartObj>
    </w:sdtPr>
    <w:sdtEndPr>
      <w:rPr>
        <w:noProof/>
      </w:rPr>
    </w:sdtEndPr>
    <w:sdtContent>
      <w:p w14:paraId="24611623" w14:textId="2901F5DC" w:rsidR="00021039" w:rsidRDefault="00021039">
        <w:pPr>
          <w:pStyle w:val="Footer"/>
          <w:jc w:val="right"/>
        </w:pPr>
        <w:r>
          <w:fldChar w:fldCharType="begin"/>
        </w:r>
        <w:r>
          <w:instrText xml:space="preserve"> PAGE   \* MERGEFORMAT </w:instrText>
        </w:r>
        <w:r>
          <w:fldChar w:fldCharType="separate"/>
        </w:r>
        <w:r w:rsidR="002B72AF">
          <w:rPr>
            <w:noProof/>
          </w:rPr>
          <w:t>6</w:t>
        </w:r>
        <w:r>
          <w:rPr>
            <w:noProof/>
          </w:rPr>
          <w:fldChar w:fldCharType="end"/>
        </w:r>
      </w:p>
    </w:sdtContent>
  </w:sdt>
  <w:p w14:paraId="624063BE" w14:textId="77777777" w:rsidR="00021039" w:rsidRDefault="00021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A3B5" w14:textId="77777777" w:rsidR="00021039" w:rsidRDefault="000210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EE7CB2B" w14:textId="1299D112" w:rsidR="00021039" w:rsidRDefault="00021039">
        <w:pPr>
          <w:pStyle w:val="Footer"/>
          <w:jc w:val="right"/>
        </w:pPr>
        <w:r>
          <w:fldChar w:fldCharType="begin"/>
        </w:r>
        <w:r>
          <w:instrText xml:space="preserve"> PAGE   \* MERGEFORMAT </w:instrText>
        </w:r>
        <w:r>
          <w:fldChar w:fldCharType="separate"/>
        </w:r>
        <w:r w:rsidR="002B72AF">
          <w:rPr>
            <w:noProof/>
          </w:rPr>
          <w:t>21</w:t>
        </w:r>
        <w:r>
          <w:rPr>
            <w:noProof/>
          </w:rPr>
          <w:fldChar w:fldCharType="end"/>
        </w:r>
      </w:p>
    </w:sdtContent>
  </w:sdt>
  <w:p w14:paraId="0D69F077" w14:textId="77777777" w:rsidR="00021039" w:rsidRDefault="00021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4C26" w14:textId="77777777" w:rsidR="00021039" w:rsidRDefault="00021039" w:rsidP="00065623">
      <w:r>
        <w:separator/>
      </w:r>
    </w:p>
  </w:footnote>
  <w:footnote w:type="continuationSeparator" w:id="0">
    <w:p w14:paraId="1B645429" w14:textId="77777777" w:rsidR="00021039" w:rsidRDefault="00021039" w:rsidP="00065623">
      <w:r>
        <w:continuationSeparator/>
      </w:r>
    </w:p>
  </w:footnote>
  <w:footnote w:id="1">
    <w:p w14:paraId="25209921" w14:textId="77777777" w:rsidR="00021039" w:rsidRDefault="00021039" w:rsidP="00350AD6">
      <w:pPr>
        <w:pStyle w:val="FootnoteText"/>
      </w:pPr>
      <w:r>
        <w:rPr>
          <w:rStyle w:val="FootnoteReference"/>
        </w:rPr>
        <w:footnoteRef/>
      </w:r>
      <w:r>
        <w:t xml:space="preserve"> </w:t>
      </w:r>
      <w:proofErr w:type="spellStart"/>
      <w:r w:rsidRPr="001E3558">
        <w:t>Erggelet</w:t>
      </w:r>
      <w:proofErr w:type="spellEnd"/>
      <w:r w:rsidRPr="001E3558">
        <w:t xml:space="preserve"> C, </w:t>
      </w:r>
      <w:proofErr w:type="spellStart"/>
      <w:r w:rsidRPr="001E3558">
        <w:t>Vavken</w:t>
      </w:r>
      <w:proofErr w:type="spellEnd"/>
      <w:r w:rsidRPr="001E3558">
        <w:t xml:space="preserve"> P. Microfracture for the treatment of cartilage defects in the knee joint–A golden standard</w:t>
      </w:r>
      <w:proofErr w:type="gramStart"/>
      <w:r w:rsidRPr="001E3558">
        <w:t>?.</w:t>
      </w:r>
      <w:proofErr w:type="gramEnd"/>
      <w:r w:rsidRPr="001E3558">
        <w:t xml:space="preserve"> Journal of clinical orthopaedics and trauma. 2016 Jul 1</w:t>
      </w:r>
      <w:proofErr w:type="gramStart"/>
      <w:r w:rsidRPr="001E3558">
        <w:t>;7</w:t>
      </w:r>
      <w:proofErr w:type="gramEnd"/>
      <w:r w:rsidRPr="001E3558">
        <w:t>(3):145-52.</w:t>
      </w:r>
    </w:p>
  </w:footnote>
  <w:footnote w:id="2">
    <w:p w14:paraId="5EA73A69" w14:textId="0B179904" w:rsidR="00021039" w:rsidRDefault="00021039">
      <w:pPr>
        <w:pStyle w:val="FootnoteText"/>
      </w:pPr>
      <w:r>
        <w:rPr>
          <w:rStyle w:val="FootnoteReference"/>
        </w:rPr>
        <w:footnoteRef/>
      </w:r>
      <w:r>
        <w:t xml:space="preserve"> </w:t>
      </w:r>
      <w:r w:rsidRPr="005A349D">
        <w:t xml:space="preserve">da Cunha CB, Andrade R, </w:t>
      </w:r>
      <w:proofErr w:type="spellStart"/>
      <w:r w:rsidRPr="005A349D">
        <w:t>Veloso</w:t>
      </w:r>
      <w:proofErr w:type="spellEnd"/>
      <w:r w:rsidRPr="005A349D">
        <w:t xml:space="preserve"> TR, Learmonth DA, </w:t>
      </w:r>
      <w:proofErr w:type="spellStart"/>
      <w:r w:rsidRPr="005A349D">
        <w:t>Espregueira</w:t>
      </w:r>
      <w:proofErr w:type="spellEnd"/>
      <w:r w:rsidRPr="005A349D">
        <w:t>-Mendes J, Sousa RA. Enhanced microfracture using acellular scaffolds improves results after treatment of symptomatic focal grade III/IV knee cartilage lesions but current clinical evidence does not allow unequivocal recommendation. Knee Surgery, Sports Traumatology, Arthroscopy. 2020 Jan 1:1-</w:t>
      </w:r>
      <w:proofErr w:type="gramStart"/>
      <w:r w:rsidRPr="005A349D">
        <w:t>3</w:t>
      </w:r>
      <w:proofErr w:type="gramEnd"/>
      <w:r w:rsidRPr="005A349D">
        <w:t>.</w:t>
      </w:r>
    </w:p>
  </w:footnote>
  <w:footnote w:id="3">
    <w:p w14:paraId="203CE98C" w14:textId="77777777" w:rsidR="00021039" w:rsidRDefault="00021039" w:rsidP="00467087">
      <w:pPr>
        <w:pStyle w:val="FootnoteText"/>
      </w:pPr>
      <w:r>
        <w:rPr>
          <w:rStyle w:val="FootnoteReference"/>
        </w:rPr>
        <w:footnoteRef/>
      </w:r>
      <w:r>
        <w:t xml:space="preserve"> </w:t>
      </w:r>
      <w:proofErr w:type="spellStart"/>
      <w:r>
        <w:t>Stanish</w:t>
      </w:r>
      <w:proofErr w:type="spellEnd"/>
      <w:r>
        <w:t xml:space="preserve">, W. D., </w:t>
      </w:r>
      <w:proofErr w:type="spellStart"/>
      <w:r>
        <w:t>Mccormack</w:t>
      </w:r>
      <w:proofErr w:type="spellEnd"/>
      <w:r>
        <w:t xml:space="preserve">, R., </w:t>
      </w:r>
      <w:proofErr w:type="spellStart"/>
      <w:r>
        <w:t>Forriol</w:t>
      </w:r>
      <w:proofErr w:type="spellEnd"/>
      <w:r>
        <w:t xml:space="preserve">, F., </w:t>
      </w:r>
      <w:proofErr w:type="spellStart"/>
      <w:r>
        <w:t>Mohtadi</w:t>
      </w:r>
      <w:proofErr w:type="spellEnd"/>
      <w:r>
        <w:t xml:space="preserve">, N., </w:t>
      </w:r>
      <w:proofErr w:type="spellStart"/>
      <w:r>
        <w:t>Pelet</w:t>
      </w:r>
      <w:proofErr w:type="spellEnd"/>
      <w:r>
        <w:t xml:space="preserve">, S., </w:t>
      </w:r>
      <w:proofErr w:type="spellStart"/>
      <w:r>
        <w:t>Desnoyers</w:t>
      </w:r>
      <w:proofErr w:type="spellEnd"/>
      <w:r>
        <w:t xml:space="preserve">, J., </w:t>
      </w:r>
      <w:proofErr w:type="spellStart"/>
      <w:r>
        <w:t>Restrepo</w:t>
      </w:r>
      <w:proofErr w:type="spellEnd"/>
      <w:r>
        <w:t>, A. &amp; Shive, M. S. 2013. Novel scaffold-based BST-</w:t>
      </w:r>
      <w:proofErr w:type="spellStart"/>
      <w:r>
        <w:t>CarGel</w:t>
      </w:r>
      <w:proofErr w:type="spellEnd"/>
      <w:r>
        <w:t xml:space="preserve"> treatment results in superior cartilage repair compared with microfracture in a randomized controlled trial. J Bone Joint </w:t>
      </w:r>
      <w:proofErr w:type="spellStart"/>
      <w:r>
        <w:t>Surg</w:t>
      </w:r>
      <w:proofErr w:type="spellEnd"/>
      <w:r>
        <w:t xml:space="preserve"> Am, 95, 1640-50.</w:t>
      </w:r>
    </w:p>
  </w:footnote>
  <w:footnote w:id="4">
    <w:p w14:paraId="4C37AC06" w14:textId="101C27A7" w:rsidR="00021039" w:rsidRDefault="00021039">
      <w:pPr>
        <w:pStyle w:val="FootnoteText"/>
      </w:pPr>
      <w:r>
        <w:rPr>
          <w:rStyle w:val="FootnoteReference"/>
        </w:rPr>
        <w:footnoteRef/>
      </w:r>
      <w:r>
        <w:t xml:space="preserve"> </w:t>
      </w:r>
      <w:proofErr w:type="spellStart"/>
      <w:r w:rsidRPr="00423D55">
        <w:t>Aroen</w:t>
      </w:r>
      <w:proofErr w:type="spellEnd"/>
      <w:r w:rsidRPr="00423D55">
        <w:t xml:space="preserve">, A., et al., Articular cartilage lesions in 993 consecutive knee arthroscopies. Am J Sports Med, </w:t>
      </w:r>
      <w:proofErr w:type="gramStart"/>
      <w:r w:rsidRPr="00423D55">
        <w:t>2004.</w:t>
      </w:r>
      <w:proofErr w:type="gramEnd"/>
      <w:r w:rsidRPr="00423D55">
        <w:t xml:space="preserve"> 32(1): p. 211-5.</w:t>
      </w:r>
    </w:p>
  </w:footnote>
  <w:footnote w:id="5">
    <w:p w14:paraId="5BD865FE" w14:textId="77777777" w:rsidR="00021039" w:rsidRDefault="00021039" w:rsidP="00467087">
      <w:pPr>
        <w:pStyle w:val="FootnoteText"/>
        <w:rPr>
          <w:lang w:val="nl-NL"/>
        </w:rPr>
      </w:pPr>
      <w:r>
        <w:rPr>
          <w:rStyle w:val="FootnoteReference"/>
        </w:rPr>
        <w:footnoteRef/>
      </w:r>
      <w:r>
        <w:t xml:space="preserve"> Blackman AJ, Smith MV, </w:t>
      </w:r>
      <w:proofErr w:type="spellStart"/>
      <w:r>
        <w:t>Flanigan</w:t>
      </w:r>
      <w:proofErr w:type="spellEnd"/>
      <w:r>
        <w:t xml:space="preserve"> DC, et al. Correlation between magnetic resonance imaging and clinical outcomes after cartilage repair surgery in the knee: a systematic review and meta-analysis. </w:t>
      </w:r>
      <w:r>
        <w:rPr>
          <w:lang w:val="nl-NL"/>
        </w:rPr>
        <w:t>Am J Sports Med. 2013;41(6):1426-34.</w:t>
      </w:r>
    </w:p>
  </w:footnote>
  <w:footnote w:id="6">
    <w:p w14:paraId="17CD9BB7" w14:textId="77777777" w:rsidR="00021039" w:rsidRDefault="00021039" w:rsidP="00467087">
      <w:pPr>
        <w:pStyle w:val="FootnoteText"/>
      </w:pPr>
      <w:r>
        <w:rPr>
          <w:rStyle w:val="FootnoteReference"/>
        </w:rPr>
        <w:footnoteRef/>
      </w:r>
      <w:r>
        <w:rPr>
          <w:lang w:val="nl-NL"/>
        </w:rPr>
        <w:t xml:space="preserve"> De Windt T, Welsch G, Brittberg M, et al. </w:t>
      </w:r>
      <w:r>
        <w:t>Is magnetic resonance imaging reliable in predicting clinical outcome after articular cartilage repair of the knee? A systematic review and meta-analysis. Am J Sports Med. 2013</w:t>
      </w:r>
      <w:proofErr w:type="gramStart"/>
      <w:r>
        <w:t>;41</w:t>
      </w:r>
      <w:proofErr w:type="gramEnd"/>
      <w:r>
        <w:t>(7):1695-702.</w:t>
      </w:r>
    </w:p>
  </w:footnote>
  <w:footnote w:id="7">
    <w:p w14:paraId="45DB782C" w14:textId="77777777" w:rsidR="00021039" w:rsidRDefault="00021039" w:rsidP="00467087">
      <w:pPr>
        <w:pStyle w:val="FootnoteText"/>
      </w:pPr>
      <w:r>
        <w:rPr>
          <w:rStyle w:val="FootnoteReference"/>
        </w:rPr>
        <w:footnoteRef/>
      </w:r>
      <w:r>
        <w:t xml:space="preserve"> </w:t>
      </w:r>
      <w:proofErr w:type="spellStart"/>
      <w:r>
        <w:t>Mithoefer</w:t>
      </w:r>
      <w:proofErr w:type="spellEnd"/>
      <w:r>
        <w:t xml:space="preserve">, K., </w:t>
      </w:r>
      <w:proofErr w:type="spellStart"/>
      <w:r>
        <w:t>Mcadams</w:t>
      </w:r>
      <w:proofErr w:type="spellEnd"/>
      <w:r>
        <w:t xml:space="preserve">, T., Williams, R. J., </w:t>
      </w:r>
      <w:proofErr w:type="spellStart"/>
      <w:r>
        <w:t>Kreuz</w:t>
      </w:r>
      <w:proofErr w:type="spellEnd"/>
      <w:r>
        <w:t xml:space="preserve">, P. C. &amp; </w:t>
      </w:r>
      <w:proofErr w:type="spellStart"/>
      <w:r>
        <w:t>Mandelbaum</w:t>
      </w:r>
      <w:proofErr w:type="spellEnd"/>
      <w:r>
        <w:t>, B. R. 2009. Clinical efficacy of the microfracture technique for articular cartilage repair in the knee: an evidence-based systematic analysis. Am J Sports Med, 37, 2053-</w:t>
      </w:r>
      <w:proofErr w:type="gramStart"/>
      <w:r>
        <w:t>63.</w:t>
      </w:r>
      <w:proofErr w:type="gramEnd"/>
    </w:p>
  </w:footnote>
  <w:footnote w:id="8">
    <w:p w14:paraId="0F9E0EC6" w14:textId="77777777" w:rsidR="00021039" w:rsidRDefault="00021039" w:rsidP="00B13F9D">
      <w:pPr>
        <w:pStyle w:val="FootnoteText"/>
      </w:pPr>
      <w:r>
        <w:rPr>
          <w:rStyle w:val="FootnoteReference"/>
        </w:rPr>
        <w:footnoteRef/>
      </w:r>
      <w:r>
        <w:t xml:space="preserve"> Case JM, </w:t>
      </w:r>
      <w:proofErr w:type="spellStart"/>
      <w:r>
        <w:t>Scopp</w:t>
      </w:r>
      <w:proofErr w:type="spellEnd"/>
      <w:r>
        <w:t xml:space="preserve"> JM. Treatment of Articular Cartilage Defects of the Knee with Microfracture and Enhanced Microfracture Techniques. Sports Med </w:t>
      </w:r>
      <w:proofErr w:type="spellStart"/>
      <w:r>
        <w:t>Arthrosc</w:t>
      </w:r>
      <w:proofErr w:type="spellEnd"/>
      <w:r>
        <w:t xml:space="preserve"> Rev 2016;24:63–68)</w:t>
      </w:r>
    </w:p>
  </w:footnote>
  <w:footnote w:id="9">
    <w:p w14:paraId="3DA96CCA" w14:textId="77777777" w:rsidR="00021039" w:rsidRDefault="00021039">
      <w:pPr>
        <w:pStyle w:val="FootnoteText"/>
      </w:pPr>
      <w:r>
        <w:rPr>
          <w:rStyle w:val="FootnoteReference"/>
        </w:rPr>
        <w:footnoteRef/>
      </w:r>
      <w:r>
        <w:t xml:space="preserve"> </w:t>
      </w:r>
      <w:proofErr w:type="spellStart"/>
      <w:r w:rsidRPr="005B77B8">
        <w:t>Knutsen</w:t>
      </w:r>
      <w:proofErr w:type="spellEnd"/>
      <w:r w:rsidRPr="005B77B8">
        <w:t xml:space="preserve"> G, </w:t>
      </w:r>
      <w:proofErr w:type="spellStart"/>
      <w:r w:rsidRPr="005B77B8">
        <w:t>Drogset</w:t>
      </w:r>
      <w:proofErr w:type="spellEnd"/>
      <w:r w:rsidRPr="005B77B8">
        <w:t xml:space="preserve"> JO, </w:t>
      </w:r>
      <w:proofErr w:type="spellStart"/>
      <w:r w:rsidRPr="005B77B8">
        <w:t>Engebretsen</w:t>
      </w:r>
      <w:proofErr w:type="spellEnd"/>
      <w:r w:rsidRPr="005B77B8">
        <w:t xml:space="preserve"> L, </w:t>
      </w:r>
      <w:proofErr w:type="spellStart"/>
      <w:r w:rsidRPr="005B77B8">
        <w:t>Grøntvedt</w:t>
      </w:r>
      <w:proofErr w:type="spellEnd"/>
      <w:r w:rsidRPr="005B77B8">
        <w:t xml:space="preserve"> T, </w:t>
      </w:r>
      <w:proofErr w:type="spellStart"/>
      <w:r w:rsidRPr="005B77B8">
        <w:t>Ludvigsen</w:t>
      </w:r>
      <w:proofErr w:type="spellEnd"/>
      <w:r w:rsidRPr="005B77B8">
        <w:t xml:space="preserve"> TC, </w:t>
      </w:r>
      <w:proofErr w:type="spellStart"/>
      <w:r w:rsidRPr="005B77B8">
        <w:t>Løken</w:t>
      </w:r>
      <w:proofErr w:type="spellEnd"/>
      <w:r w:rsidRPr="005B77B8">
        <w:t xml:space="preserve"> S, </w:t>
      </w:r>
      <w:proofErr w:type="spellStart"/>
      <w:r w:rsidRPr="005B77B8">
        <w:t>Solheim</w:t>
      </w:r>
      <w:proofErr w:type="spellEnd"/>
      <w:r w:rsidRPr="005B77B8">
        <w:t xml:space="preserve"> E, Strand T, Johansen O. 2016. A randomized </w:t>
      </w:r>
      <w:proofErr w:type="spellStart"/>
      <w:r w:rsidRPr="005B77B8">
        <w:t>multicenter</w:t>
      </w:r>
      <w:proofErr w:type="spellEnd"/>
      <w:r w:rsidRPr="005B77B8">
        <w:t xml:space="preserve"> trial comparing autologous chondrocyte implantation with microfracture: long-term follow-up at 14 to 15 years. JBJS Aug 17</w:t>
      </w:r>
      <w:proofErr w:type="gramStart"/>
      <w:r w:rsidRPr="005B77B8">
        <w:t>;98</w:t>
      </w:r>
      <w:proofErr w:type="gramEnd"/>
      <w:r w:rsidRPr="005B77B8">
        <w:t>(16):1332-9.</w:t>
      </w:r>
    </w:p>
  </w:footnote>
  <w:footnote w:id="10">
    <w:p w14:paraId="27BF5754" w14:textId="77777777" w:rsidR="00021039" w:rsidRDefault="00021039">
      <w:pPr>
        <w:pStyle w:val="FootnoteText"/>
      </w:pPr>
      <w:r>
        <w:rPr>
          <w:rStyle w:val="FootnoteReference"/>
        </w:rPr>
        <w:footnoteRef/>
      </w:r>
      <w:r>
        <w:t xml:space="preserve"> 1-(1-32.5%)</w:t>
      </w:r>
      <w:r w:rsidRPr="00563410">
        <w:t>20/15</w:t>
      </w:r>
    </w:p>
  </w:footnote>
  <w:footnote w:id="11">
    <w:p w14:paraId="7285F21A" w14:textId="77777777" w:rsidR="00021039" w:rsidRDefault="00021039">
      <w:pPr>
        <w:pStyle w:val="FootnoteText"/>
      </w:pPr>
      <w:r>
        <w:rPr>
          <w:rStyle w:val="FootnoteReference"/>
        </w:rPr>
        <w:footnoteRef/>
      </w:r>
      <w:r>
        <w:t xml:space="preserve"> </w:t>
      </w:r>
      <w:proofErr w:type="spellStart"/>
      <w:r w:rsidRPr="005B77B8">
        <w:t>Elvidge</w:t>
      </w:r>
      <w:proofErr w:type="spellEnd"/>
      <w:r w:rsidRPr="005B77B8">
        <w:t xml:space="preserve">, J., </w:t>
      </w:r>
      <w:proofErr w:type="spellStart"/>
      <w:r w:rsidRPr="005B77B8">
        <w:t>Bullement</w:t>
      </w:r>
      <w:proofErr w:type="spellEnd"/>
      <w:r w:rsidRPr="005B77B8">
        <w:t xml:space="preserve">, A. &amp; </w:t>
      </w:r>
      <w:proofErr w:type="spellStart"/>
      <w:r w:rsidRPr="005B77B8">
        <w:t>Hatswell</w:t>
      </w:r>
      <w:proofErr w:type="spellEnd"/>
      <w:r w:rsidRPr="005B77B8">
        <w:t xml:space="preserve">, A. J. 2016. Cost Effectiveness of Characterised Chondrocyte Implantation for Treatment of Cartilage Defects of the Knee in the UK. </w:t>
      </w:r>
      <w:proofErr w:type="spellStart"/>
      <w:r w:rsidRPr="005B77B8">
        <w:t>Pharmacoeconomics</w:t>
      </w:r>
      <w:proofErr w:type="spellEnd"/>
      <w:r w:rsidRPr="005B77B8">
        <w:t>, 34, 1145-1159.</w:t>
      </w:r>
    </w:p>
  </w:footnote>
  <w:footnote w:id="12">
    <w:p w14:paraId="17A5BF51" w14:textId="77777777" w:rsidR="00021039" w:rsidRDefault="00021039">
      <w:pPr>
        <w:pStyle w:val="FootnoteText"/>
      </w:pPr>
      <w:r>
        <w:rPr>
          <w:rStyle w:val="FootnoteReference"/>
        </w:rPr>
        <w:footnoteRef/>
      </w:r>
      <w:r>
        <w:t xml:space="preserve"> </w:t>
      </w:r>
      <w:r w:rsidRPr="006D1571">
        <w:t xml:space="preserve">Weber AE, Locker PH, Mayer EN, </w:t>
      </w:r>
      <w:proofErr w:type="spellStart"/>
      <w:r w:rsidRPr="006D1571">
        <w:t>Cvetanovich</w:t>
      </w:r>
      <w:proofErr w:type="spellEnd"/>
      <w:r w:rsidRPr="006D1571">
        <w:t xml:space="preserve"> GL, Tilton AK, Erickson BJ, </w:t>
      </w:r>
      <w:proofErr w:type="spellStart"/>
      <w:r w:rsidRPr="006D1571">
        <w:t>Yanke</w:t>
      </w:r>
      <w:proofErr w:type="spellEnd"/>
      <w:r w:rsidRPr="006D1571">
        <w:t xml:space="preserve"> AB, Cole BJ. 2018. Clinical outcomes after microfracture of the knee: midterm follow-up. Orthopaedic journal of sports medicine Feb 6</w:t>
      </w:r>
      <w:proofErr w:type="gramStart"/>
      <w:r w:rsidRPr="006D1571">
        <w:t>;6</w:t>
      </w:r>
      <w:proofErr w:type="gramEnd"/>
      <w:r w:rsidRPr="006D1571">
        <w:t>(2):2325967117753572.</w:t>
      </w:r>
    </w:p>
  </w:footnote>
  <w:footnote w:id="13">
    <w:p w14:paraId="4CA9413E" w14:textId="77777777" w:rsidR="00021039" w:rsidRDefault="00021039">
      <w:pPr>
        <w:pStyle w:val="FootnoteText"/>
      </w:pPr>
      <w:r>
        <w:rPr>
          <w:rStyle w:val="FootnoteReference"/>
        </w:rPr>
        <w:footnoteRef/>
      </w:r>
      <w:r>
        <w:t xml:space="preserve"> </w:t>
      </w:r>
      <w:proofErr w:type="spellStart"/>
      <w:r w:rsidRPr="006D1571">
        <w:t>Vanlauwe</w:t>
      </w:r>
      <w:proofErr w:type="spellEnd"/>
      <w:r w:rsidRPr="006D1571">
        <w:t xml:space="preserve"> J, Saris DB, Victor J, Almqvist KF, </w:t>
      </w:r>
      <w:proofErr w:type="spellStart"/>
      <w:r w:rsidRPr="006D1571">
        <w:t>Bellemans</w:t>
      </w:r>
      <w:proofErr w:type="spellEnd"/>
      <w:r w:rsidRPr="006D1571">
        <w:t xml:space="preserve"> J, </w:t>
      </w:r>
      <w:proofErr w:type="spellStart"/>
      <w:r w:rsidRPr="006D1571">
        <w:t>Luyten</w:t>
      </w:r>
      <w:proofErr w:type="spellEnd"/>
      <w:r w:rsidRPr="006D1571">
        <w:t xml:space="preserve"> FP, TIG/ACT/01/2000&amp;EXT Study Group. 2011. </w:t>
      </w:r>
      <w:proofErr w:type="gramStart"/>
      <w:r w:rsidRPr="006D1571">
        <w:t>Five-</w:t>
      </w:r>
      <w:proofErr w:type="gramEnd"/>
      <w:r w:rsidRPr="006D1571">
        <w:t>year outcome of characterized chondrocyte implantation versus microfracture for symptomatic cartilage defects of the knee: early treatment matters. The American journal of sports medicine Dec</w:t>
      </w:r>
      <w:proofErr w:type="gramStart"/>
      <w:r w:rsidRPr="006D1571">
        <w:t>;39</w:t>
      </w:r>
      <w:proofErr w:type="gramEnd"/>
      <w:r w:rsidRPr="006D1571">
        <w:t>(12):2566-74.</w:t>
      </w:r>
    </w:p>
  </w:footnote>
  <w:footnote w:id="14">
    <w:p w14:paraId="1438D7EB" w14:textId="77777777" w:rsidR="00021039" w:rsidRDefault="00021039">
      <w:pPr>
        <w:pStyle w:val="FootnoteText"/>
      </w:pPr>
      <w:r>
        <w:rPr>
          <w:rStyle w:val="FootnoteReference"/>
        </w:rPr>
        <w:footnoteRef/>
      </w:r>
      <w:r>
        <w:t xml:space="preserve"> </w:t>
      </w:r>
      <w:proofErr w:type="spellStart"/>
      <w:r w:rsidRPr="00263CC5">
        <w:t>Solheim</w:t>
      </w:r>
      <w:proofErr w:type="spellEnd"/>
      <w:r w:rsidRPr="00263CC5">
        <w:t xml:space="preserve"> E, </w:t>
      </w:r>
      <w:proofErr w:type="spellStart"/>
      <w:r w:rsidRPr="00263CC5">
        <w:t>Hegna</w:t>
      </w:r>
      <w:proofErr w:type="spellEnd"/>
      <w:r w:rsidRPr="00263CC5">
        <w:t xml:space="preserve"> J, </w:t>
      </w:r>
      <w:proofErr w:type="spellStart"/>
      <w:r w:rsidRPr="00263CC5">
        <w:t>Inderhaug</w:t>
      </w:r>
      <w:proofErr w:type="spellEnd"/>
      <w:r w:rsidRPr="00263CC5">
        <w:t xml:space="preserve"> E. 2020. Long-term survival after microfracture and </w:t>
      </w:r>
      <w:proofErr w:type="spellStart"/>
      <w:r w:rsidRPr="00263CC5">
        <w:t>mosaicplasty</w:t>
      </w:r>
      <w:proofErr w:type="spellEnd"/>
      <w:r w:rsidRPr="00263CC5">
        <w:t xml:space="preserve"> for knee articular cartilage repair: a comparative study between two treatments cohorts. Cartilage Jan</w:t>
      </w:r>
      <w:proofErr w:type="gramStart"/>
      <w:r w:rsidRPr="00263CC5">
        <w:t>;11</w:t>
      </w:r>
      <w:proofErr w:type="gramEnd"/>
      <w:r w:rsidRPr="00263CC5">
        <w:t>(1):71-6.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446A" w14:textId="77777777" w:rsidR="00021039" w:rsidRDefault="0002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3652" w14:textId="77777777" w:rsidR="00021039" w:rsidRDefault="00021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B930" w14:textId="77777777" w:rsidR="00021039" w:rsidRDefault="00021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0035"/>
    <w:multiLevelType w:val="hybridMultilevel"/>
    <w:tmpl w:val="3F58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5D25C90"/>
    <w:multiLevelType w:val="hybridMultilevel"/>
    <w:tmpl w:val="70F86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A65D2"/>
    <w:multiLevelType w:val="hybridMultilevel"/>
    <w:tmpl w:val="F1782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9345F2F"/>
    <w:multiLevelType w:val="hybridMultilevel"/>
    <w:tmpl w:val="A21202A8"/>
    <w:lvl w:ilvl="0" w:tplc="0C090001">
      <w:start w:val="1"/>
      <w:numFmt w:val="bullet"/>
      <w:lvlText w:val=""/>
      <w:lvlJc w:val="left"/>
      <w:pPr>
        <w:ind w:left="896" w:hanging="360"/>
      </w:pPr>
      <w:rPr>
        <w:rFonts w:ascii="Symbol" w:hAnsi="Symbol" w:hint="default"/>
      </w:rPr>
    </w:lvl>
    <w:lvl w:ilvl="1" w:tplc="0C090003">
      <w:start w:val="1"/>
      <w:numFmt w:val="bullet"/>
      <w:lvlText w:val="o"/>
      <w:lvlJc w:val="left"/>
      <w:pPr>
        <w:ind w:left="1616" w:hanging="360"/>
      </w:pPr>
      <w:rPr>
        <w:rFonts w:ascii="Courier New" w:hAnsi="Courier New" w:cs="Courier New" w:hint="default"/>
      </w:rPr>
    </w:lvl>
    <w:lvl w:ilvl="2" w:tplc="0C090005">
      <w:start w:val="1"/>
      <w:numFmt w:val="bullet"/>
      <w:lvlText w:val=""/>
      <w:lvlJc w:val="left"/>
      <w:pPr>
        <w:ind w:left="2336" w:hanging="360"/>
      </w:pPr>
      <w:rPr>
        <w:rFonts w:ascii="Wingdings" w:hAnsi="Wingdings" w:hint="default"/>
      </w:rPr>
    </w:lvl>
    <w:lvl w:ilvl="3" w:tplc="0C090001">
      <w:start w:val="1"/>
      <w:numFmt w:val="bullet"/>
      <w:lvlText w:val=""/>
      <w:lvlJc w:val="left"/>
      <w:pPr>
        <w:ind w:left="3056" w:hanging="360"/>
      </w:pPr>
      <w:rPr>
        <w:rFonts w:ascii="Symbol" w:hAnsi="Symbol" w:hint="default"/>
      </w:rPr>
    </w:lvl>
    <w:lvl w:ilvl="4" w:tplc="0C090003">
      <w:start w:val="1"/>
      <w:numFmt w:val="bullet"/>
      <w:lvlText w:val="o"/>
      <w:lvlJc w:val="left"/>
      <w:pPr>
        <w:ind w:left="3776" w:hanging="360"/>
      </w:pPr>
      <w:rPr>
        <w:rFonts w:ascii="Courier New" w:hAnsi="Courier New" w:cs="Courier New" w:hint="default"/>
      </w:rPr>
    </w:lvl>
    <w:lvl w:ilvl="5" w:tplc="0C090005">
      <w:start w:val="1"/>
      <w:numFmt w:val="bullet"/>
      <w:lvlText w:val=""/>
      <w:lvlJc w:val="left"/>
      <w:pPr>
        <w:ind w:left="4496" w:hanging="360"/>
      </w:pPr>
      <w:rPr>
        <w:rFonts w:ascii="Wingdings" w:hAnsi="Wingdings" w:hint="default"/>
      </w:rPr>
    </w:lvl>
    <w:lvl w:ilvl="6" w:tplc="0C090001">
      <w:start w:val="1"/>
      <w:numFmt w:val="bullet"/>
      <w:lvlText w:val=""/>
      <w:lvlJc w:val="left"/>
      <w:pPr>
        <w:ind w:left="5216" w:hanging="360"/>
      </w:pPr>
      <w:rPr>
        <w:rFonts w:ascii="Symbol" w:hAnsi="Symbol" w:hint="default"/>
      </w:rPr>
    </w:lvl>
    <w:lvl w:ilvl="7" w:tplc="0C090003">
      <w:start w:val="1"/>
      <w:numFmt w:val="bullet"/>
      <w:lvlText w:val="o"/>
      <w:lvlJc w:val="left"/>
      <w:pPr>
        <w:ind w:left="5936" w:hanging="360"/>
      </w:pPr>
      <w:rPr>
        <w:rFonts w:ascii="Courier New" w:hAnsi="Courier New" w:cs="Courier New" w:hint="default"/>
      </w:rPr>
    </w:lvl>
    <w:lvl w:ilvl="8" w:tplc="0C090005">
      <w:start w:val="1"/>
      <w:numFmt w:val="bullet"/>
      <w:lvlText w:val=""/>
      <w:lvlJc w:val="left"/>
      <w:pPr>
        <w:ind w:left="6656" w:hanging="360"/>
      </w:pPr>
      <w:rPr>
        <w:rFonts w:ascii="Wingdings" w:hAnsi="Wingdings" w:hint="default"/>
      </w:rPr>
    </w:lvl>
  </w:abstractNum>
  <w:abstractNum w:abstractNumId="11"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A3D81"/>
    <w:multiLevelType w:val="hybridMultilevel"/>
    <w:tmpl w:val="67C0881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155FA"/>
    <w:multiLevelType w:val="hybridMultilevel"/>
    <w:tmpl w:val="493606A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86616"/>
    <w:multiLevelType w:val="hybridMultilevel"/>
    <w:tmpl w:val="5D747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F433516"/>
    <w:multiLevelType w:val="hybridMultilevel"/>
    <w:tmpl w:val="75A84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560CEF"/>
    <w:multiLevelType w:val="hybridMultilevel"/>
    <w:tmpl w:val="A614C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
  </w:num>
  <w:num w:numId="4">
    <w:abstractNumId w:val="21"/>
  </w:num>
  <w:num w:numId="5">
    <w:abstractNumId w:val="13"/>
  </w:num>
  <w:num w:numId="6">
    <w:abstractNumId w:val="19"/>
  </w:num>
  <w:num w:numId="7">
    <w:abstractNumId w:val="24"/>
  </w:num>
  <w:num w:numId="8">
    <w:abstractNumId w:val="15"/>
  </w:num>
  <w:num w:numId="9">
    <w:abstractNumId w:val="33"/>
  </w:num>
  <w:num w:numId="10">
    <w:abstractNumId w:val="1"/>
  </w:num>
  <w:num w:numId="11">
    <w:abstractNumId w:val="23"/>
  </w:num>
  <w:num w:numId="12">
    <w:abstractNumId w:val="25"/>
  </w:num>
  <w:num w:numId="13">
    <w:abstractNumId w:val="6"/>
  </w:num>
  <w:num w:numId="14">
    <w:abstractNumId w:val="30"/>
  </w:num>
  <w:num w:numId="15">
    <w:abstractNumId w:val="22"/>
  </w:num>
  <w:num w:numId="16">
    <w:abstractNumId w:val="26"/>
  </w:num>
  <w:num w:numId="17">
    <w:abstractNumId w:val="16"/>
  </w:num>
  <w:num w:numId="18">
    <w:abstractNumId w:val="17"/>
  </w:num>
  <w:num w:numId="19">
    <w:abstractNumId w:val="28"/>
  </w:num>
  <w:num w:numId="20">
    <w:abstractNumId w:val="27"/>
  </w:num>
  <w:num w:numId="21">
    <w:abstractNumId w:val="4"/>
  </w:num>
  <w:num w:numId="22">
    <w:abstractNumId w:val="12"/>
  </w:num>
  <w:num w:numId="23">
    <w:abstractNumId w:val="3"/>
  </w:num>
  <w:num w:numId="24">
    <w:abstractNumId w:val="11"/>
  </w:num>
  <w:num w:numId="25">
    <w:abstractNumId w:val="7"/>
  </w:num>
  <w:num w:numId="26">
    <w:abstractNumId w:val="9"/>
  </w:num>
  <w:num w:numId="27">
    <w:abstractNumId w:val="29"/>
  </w:num>
  <w:num w:numId="28">
    <w:abstractNumId w:val="5"/>
  </w:num>
  <w:num w:numId="29">
    <w:abstractNumId w:val="20"/>
  </w:num>
  <w:num w:numId="30">
    <w:abstractNumId w:val="31"/>
  </w:num>
  <w:num w:numId="31">
    <w:abstractNumId w:val="10"/>
  </w:num>
  <w:num w:numId="32">
    <w:abstractNumId w:val="14"/>
  </w:num>
  <w:num w:numId="33">
    <w:abstractNumId w:val="3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417F"/>
    <w:rsid w:val="00016954"/>
    <w:rsid w:val="00021039"/>
    <w:rsid w:val="000317F2"/>
    <w:rsid w:val="00040B1D"/>
    <w:rsid w:val="00041581"/>
    <w:rsid w:val="000423D3"/>
    <w:rsid w:val="00047606"/>
    <w:rsid w:val="00065623"/>
    <w:rsid w:val="0007039F"/>
    <w:rsid w:val="000756B9"/>
    <w:rsid w:val="00080E6B"/>
    <w:rsid w:val="00085D90"/>
    <w:rsid w:val="00096B67"/>
    <w:rsid w:val="00096DAF"/>
    <w:rsid w:val="000B1DDA"/>
    <w:rsid w:val="000B2F64"/>
    <w:rsid w:val="000C2F47"/>
    <w:rsid w:val="000C3D2D"/>
    <w:rsid w:val="000D2B9A"/>
    <w:rsid w:val="000D6C00"/>
    <w:rsid w:val="000E4E04"/>
    <w:rsid w:val="000F14B4"/>
    <w:rsid w:val="000F75DF"/>
    <w:rsid w:val="001023DC"/>
    <w:rsid w:val="00103C25"/>
    <w:rsid w:val="00123A1A"/>
    <w:rsid w:val="001328FA"/>
    <w:rsid w:val="00137694"/>
    <w:rsid w:val="00146253"/>
    <w:rsid w:val="00147AAF"/>
    <w:rsid w:val="001552C0"/>
    <w:rsid w:val="0016110F"/>
    <w:rsid w:val="001640B1"/>
    <w:rsid w:val="001647CA"/>
    <w:rsid w:val="0018435E"/>
    <w:rsid w:val="001A57AE"/>
    <w:rsid w:val="001C651D"/>
    <w:rsid w:val="001D18B1"/>
    <w:rsid w:val="001E3558"/>
    <w:rsid w:val="001F7D41"/>
    <w:rsid w:val="002041A1"/>
    <w:rsid w:val="002054F0"/>
    <w:rsid w:val="00212D24"/>
    <w:rsid w:val="00230D6B"/>
    <w:rsid w:val="00232068"/>
    <w:rsid w:val="002330F2"/>
    <w:rsid w:val="00243D9E"/>
    <w:rsid w:val="00253B66"/>
    <w:rsid w:val="00261DF1"/>
    <w:rsid w:val="00263CC5"/>
    <w:rsid w:val="00270E8F"/>
    <w:rsid w:val="00271F18"/>
    <w:rsid w:val="00282779"/>
    <w:rsid w:val="0028334D"/>
    <w:rsid w:val="00286D01"/>
    <w:rsid w:val="00292ADD"/>
    <w:rsid w:val="002B72AF"/>
    <w:rsid w:val="002B7FFA"/>
    <w:rsid w:val="002C2BCF"/>
    <w:rsid w:val="002C51A3"/>
    <w:rsid w:val="002D3D8C"/>
    <w:rsid w:val="002F279D"/>
    <w:rsid w:val="002F43B8"/>
    <w:rsid w:val="003105D5"/>
    <w:rsid w:val="00336856"/>
    <w:rsid w:val="00340AAC"/>
    <w:rsid w:val="0034554D"/>
    <w:rsid w:val="00350AD6"/>
    <w:rsid w:val="00352224"/>
    <w:rsid w:val="00363CFF"/>
    <w:rsid w:val="003671E6"/>
    <w:rsid w:val="003724D7"/>
    <w:rsid w:val="003811BD"/>
    <w:rsid w:val="00384272"/>
    <w:rsid w:val="00386D67"/>
    <w:rsid w:val="003945B8"/>
    <w:rsid w:val="00396C54"/>
    <w:rsid w:val="003A77FE"/>
    <w:rsid w:val="003B3F4B"/>
    <w:rsid w:val="003D25E4"/>
    <w:rsid w:val="003D7F29"/>
    <w:rsid w:val="003E3B53"/>
    <w:rsid w:val="003E70F4"/>
    <w:rsid w:val="00405A6B"/>
    <w:rsid w:val="00407B1F"/>
    <w:rsid w:val="0041184F"/>
    <w:rsid w:val="0041359B"/>
    <w:rsid w:val="00414C57"/>
    <w:rsid w:val="0041758C"/>
    <w:rsid w:val="00423D55"/>
    <w:rsid w:val="00443E52"/>
    <w:rsid w:val="004539DE"/>
    <w:rsid w:val="00453EF2"/>
    <w:rsid w:val="00467087"/>
    <w:rsid w:val="004746BD"/>
    <w:rsid w:val="00475753"/>
    <w:rsid w:val="004A2CF1"/>
    <w:rsid w:val="004C3035"/>
    <w:rsid w:val="004C307F"/>
    <w:rsid w:val="004D7769"/>
    <w:rsid w:val="004E3839"/>
    <w:rsid w:val="004E486F"/>
    <w:rsid w:val="004E4BA8"/>
    <w:rsid w:val="004F12BB"/>
    <w:rsid w:val="004F340F"/>
    <w:rsid w:val="004F7B7C"/>
    <w:rsid w:val="0052243D"/>
    <w:rsid w:val="00532435"/>
    <w:rsid w:val="005416A5"/>
    <w:rsid w:val="00550354"/>
    <w:rsid w:val="005522F7"/>
    <w:rsid w:val="00571236"/>
    <w:rsid w:val="005754AF"/>
    <w:rsid w:val="005953A1"/>
    <w:rsid w:val="005A349D"/>
    <w:rsid w:val="005A4362"/>
    <w:rsid w:val="005B5434"/>
    <w:rsid w:val="005B77B8"/>
    <w:rsid w:val="005C6470"/>
    <w:rsid w:val="005D0332"/>
    <w:rsid w:val="005D0D8C"/>
    <w:rsid w:val="005D11B1"/>
    <w:rsid w:val="005F38BD"/>
    <w:rsid w:val="006060C6"/>
    <w:rsid w:val="0061736F"/>
    <w:rsid w:val="00626E90"/>
    <w:rsid w:val="00630FE3"/>
    <w:rsid w:val="0063753D"/>
    <w:rsid w:val="00663221"/>
    <w:rsid w:val="006776AE"/>
    <w:rsid w:val="006A0D97"/>
    <w:rsid w:val="006B1F86"/>
    <w:rsid w:val="006C0A91"/>
    <w:rsid w:val="006C6130"/>
    <w:rsid w:val="006D1571"/>
    <w:rsid w:val="007054BB"/>
    <w:rsid w:val="00707064"/>
    <w:rsid w:val="00711DDA"/>
    <w:rsid w:val="00724C12"/>
    <w:rsid w:val="00730683"/>
    <w:rsid w:val="007426EA"/>
    <w:rsid w:val="0075261F"/>
    <w:rsid w:val="0075468E"/>
    <w:rsid w:val="00757328"/>
    <w:rsid w:val="007665D8"/>
    <w:rsid w:val="00766E36"/>
    <w:rsid w:val="007765F4"/>
    <w:rsid w:val="00776633"/>
    <w:rsid w:val="00784D53"/>
    <w:rsid w:val="00797797"/>
    <w:rsid w:val="007A63C9"/>
    <w:rsid w:val="007B07B9"/>
    <w:rsid w:val="007B32D1"/>
    <w:rsid w:val="007B7095"/>
    <w:rsid w:val="007D24E1"/>
    <w:rsid w:val="007D6288"/>
    <w:rsid w:val="007D63F2"/>
    <w:rsid w:val="007E15E9"/>
    <w:rsid w:val="007F4CE9"/>
    <w:rsid w:val="007F4E20"/>
    <w:rsid w:val="007F7373"/>
    <w:rsid w:val="00822C7E"/>
    <w:rsid w:val="00847060"/>
    <w:rsid w:val="00847A36"/>
    <w:rsid w:val="00856A33"/>
    <w:rsid w:val="00882184"/>
    <w:rsid w:val="00891804"/>
    <w:rsid w:val="00892620"/>
    <w:rsid w:val="008C7537"/>
    <w:rsid w:val="008C778E"/>
    <w:rsid w:val="008C7D37"/>
    <w:rsid w:val="008D5885"/>
    <w:rsid w:val="00906C3B"/>
    <w:rsid w:val="00923FA2"/>
    <w:rsid w:val="00935C78"/>
    <w:rsid w:val="0095363B"/>
    <w:rsid w:val="0096060D"/>
    <w:rsid w:val="00973614"/>
    <w:rsid w:val="00974A50"/>
    <w:rsid w:val="0097585A"/>
    <w:rsid w:val="009924B0"/>
    <w:rsid w:val="009942C9"/>
    <w:rsid w:val="009B35C4"/>
    <w:rsid w:val="009C596F"/>
    <w:rsid w:val="009C630A"/>
    <w:rsid w:val="009D5AC7"/>
    <w:rsid w:val="009E0D98"/>
    <w:rsid w:val="009E10D2"/>
    <w:rsid w:val="009E2942"/>
    <w:rsid w:val="00A04EA7"/>
    <w:rsid w:val="00A068A1"/>
    <w:rsid w:val="00A1207D"/>
    <w:rsid w:val="00A12FD8"/>
    <w:rsid w:val="00A346FC"/>
    <w:rsid w:val="00A36D98"/>
    <w:rsid w:val="00A46D77"/>
    <w:rsid w:val="00A54252"/>
    <w:rsid w:val="00A6376C"/>
    <w:rsid w:val="00A6747B"/>
    <w:rsid w:val="00A846F2"/>
    <w:rsid w:val="00A84F93"/>
    <w:rsid w:val="00AA3B5E"/>
    <w:rsid w:val="00AB1AC5"/>
    <w:rsid w:val="00AB3BFC"/>
    <w:rsid w:val="00AB4339"/>
    <w:rsid w:val="00AC4F2E"/>
    <w:rsid w:val="00AD0C37"/>
    <w:rsid w:val="00AD385F"/>
    <w:rsid w:val="00AE6E2A"/>
    <w:rsid w:val="00B03EAB"/>
    <w:rsid w:val="00B13266"/>
    <w:rsid w:val="00B13F9D"/>
    <w:rsid w:val="00B17FA6"/>
    <w:rsid w:val="00B25671"/>
    <w:rsid w:val="00B272B6"/>
    <w:rsid w:val="00B27E88"/>
    <w:rsid w:val="00B31E9C"/>
    <w:rsid w:val="00B32B0E"/>
    <w:rsid w:val="00B35595"/>
    <w:rsid w:val="00B37BF4"/>
    <w:rsid w:val="00B40C63"/>
    <w:rsid w:val="00B51C6D"/>
    <w:rsid w:val="00B83DD2"/>
    <w:rsid w:val="00B86D64"/>
    <w:rsid w:val="00BA4AC5"/>
    <w:rsid w:val="00BC1364"/>
    <w:rsid w:val="00BC2667"/>
    <w:rsid w:val="00BC7DE9"/>
    <w:rsid w:val="00BD2474"/>
    <w:rsid w:val="00BF479B"/>
    <w:rsid w:val="00C00028"/>
    <w:rsid w:val="00C02577"/>
    <w:rsid w:val="00C06B0B"/>
    <w:rsid w:val="00C204FB"/>
    <w:rsid w:val="00C20BEE"/>
    <w:rsid w:val="00C2158D"/>
    <w:rsid w:val="00C252B3"/>
    <w:rsid w:val="00C67DD2"/>
    <w:rsid w:val="00C725CB"/>
    <w:rsid w:val="00C76ABA"/>
    <w:rsid w:val="00C76F5C"/>
    <w:rsid w:val="00C96BAD"/>
    <w:rsid w:val="00CA24F3"/>
    <w:rsid w:val="00CA6944"/>
    <w:rsid w:val="00CB0F8E"/>
    <w:rsid w:val="00CB7E7D"/>
    <w:rsid w:val="00CC2911"/>
    <w:rsid w:val="00CD4A76"/>
    <w:rsid w:val="00CE1414"/>
    <w:rsid w:val="00CE4DB3"/>
    <w:rsid w:val="00CF0C6D"/>
    <w:rsid w:val="00CF4E81"/>
    <w:rsid w:val="00CF7307"/>
    <w:rsid w:val="00CF7C68"/>
    <w:rsid w:val="00D0072D"/>
    <w:rsid w:val="00D044BB"/>
    <w:rsid w:val="00D05570"/>
    <w:rsid w:val="00D12446"/>
    <w:rsid w:val="00D124FA"/>
    <w:rsid w:val="00D340DE"/>
    <w:rsid w:val="00D55723"/>
    <w:rsid w:val="00D62FAD"/>
    <w:rsid w:val="00D63702"/>
    <w:rsid w:val="00D64355"/>
    <w:rsid w:val="00D70450"/>
    <w:rsid w:val="00D75627"/>
    <w:rsid w:val="00D83BFD"/>
    <w:rsid w:val="00D90A38"/>
    <w:rsid w:val="00D94ED7"/>
    <w:rsid w:val="00D95739"/>
    <w:rsid w:val="00DA0515"/>
    <w:rsid w:val="00DA15A6"/>
    <w:rsid w:val="00DA171E"/>
    <w:rsid w:val="00DA56AA"/>
    <w:rsid w:val="00DB2B07"/>
    <w:rsid w:val="00DB5833"/>
    <w:rsid w:val="00DD2858"/>
    <w:rsid w:val="00DE169E"/>
    <w:rsid w:val="00DE6A57"/>
    <w:rsid w:val="00DF489D"/>
    <w:rsid w:val="00DF6852"/>
    <w:rsid w:val="00E02760"/>
    <w:rsid w:val="00E03E33"/>
    <w:rsid w:val="00E059E0"/>
    <w:rsid w:val="00E13CD5"/>
    <w:rsid w:val="00E3642A"/>
    <w:rsid w:val="00E415C4"/>
    <w:rsid w:val="00E50016"/>
    <w:rsid w:val="00E50EAA"/>
    <w:rsid w:val="00E5606A"/>
    <w:rsid w:val="00E656D6"/>
    <w:rsid w:val="00E737EE"/>
    <w:rsid w:val="00E977EE"/>
    <w:rsid w:val="00EA2F24"/>
    <w:rsid w:val="00EA5C0E"/>
    <w:rsid w:val="00EA67A2"/>
    <w:rsid w:val="00EB630F"/>
    <w:rsid w:val="00EB64CA"/>
    <w:rsid w:val="00EB6B6F"/>
    <w:rsid w:val="00EC4F98"/>
    <w:rsid w:val="00EF594B"/>
    <w:rsid w:val="00F04409"/>
    <w:rsid w:val="00F04AF0"/>
    <w:rsid w:val="00F058C7"/>
    <w:rsid w:val="00F12F02"/>
    <w:rsid w:val="00F16454"/>
    <w:rsid w:val="00F32E0D"/>
    <w:rsid w:val="00F35134"/>
    <w:rsid w:val="00F37B9C"/>
    <w:rsid w:val="00F37CBD"/>
    <w:rsid w:val="00F41812"/>
    <w:rsid w:val="00F41C8A"/>
    <w:rsid w:val="00F56D7F"/>
    <w:rsid w:val="00F6079B"/>
    <w:rsid w:val="00F66B80"/>
    <w:rsid w:val="00F715D1"/>
    <w:rsid w:val="00F72715"/>
    <w:rsid w:val="00F73333"/>
    <w:rsid w:val="00F776BF"/>
    <w:rsid w:val="00F878CB"/>
    <w:rsid w:val="00F95D8F"/>
    <w:rsid w:val="00FA7C26"/>
    <w:rsid w:val="00FB350A"/>
    <w:rsid w:val="00FB4C5D"/>
    <w:rsid w:val="00FE0AE3"/>
    <w:rsid w:val="00FE1C3F"/>
    <w:rsid w:val="00FE5B66"/>
    <w:rsid w:val="00FE731D"/>
    <w:rsid w:val="00FF6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AD6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467087"/>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semiHidden/>
    <w:unhideWhenUsed/>
    <w:qFormat/>
    <w:locked/>
    <w:rsid w:val="00467087"/>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67087"/>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locked/>
    <w:rsid w:val="00467087"/>
    <w:rPr>
      <w:rFonts w:ascii="Arial Narrow" w:eastAsia="Times New Roman" w:hAnsi="Arial Narrow" w:cs="Tahoma"/>
      <w:b/>
      <w:noProof/>
      <w:sz w:val="20"/>
      <w:szCs w:val="20"/>
    </w:rPr>
  </w:style>
  <w:style w:type="paragraph" w:customStyle="1" w:styleId="TableHeading">
    <w:name w:val="TableHeading"/>
    <w:basedOn w:val="Normal"/>
    <w:link w:val="TableHeadingChar"/>
    <w:qFormat/>
    <w:rsid w:val="00467087"/>
    <w:pPr>
      <w:keepNext/>
      <w:spacing w:before="40" w:after="40"/>
      <w:ind w:left="1134" w:hanging="1134"/>
      <w:jc w:val="both"/>
    </w:pPr>
    <w:rPr>
      <w:rFonts w:ascii="Arial Narrow" w:hAnsi="Arial Narrow" w:cs="Tahoma"/>
      <w:b/>
      <w:noProof/>
      <w:sz w:val="20"/>
    </w:rPr>
  </w:style>
  <w:style w:type="paragraph" w:customStyle="1" w:styleId="TableText">
    <w:name w:val="TableText"/>
    <w:basedOn w:val="Normal"/>
    <w:rsid w:val="00467087"/>
    <w:pPr>
      <w:keepNext/>
      <w:spacing w:before="60" w:after="60"/>
    </w:pPr>
    <w:rPr>
      <w:color w:val="000000"/>
      <w:sz w:val="21"/>
      <w:szCs w:val="21"/>
    </w:rPr>
  </w:style>
  <w:style w:type="character" w:customStyle="1" w:styleId="ListParagraphChar">
    <w:name w:val="List Paragraph Char"/>
    <w:aliases w:val="Styl moj Char,Akapit z listą1 Char,Akapit z listą11 Char"/>
    <w:link w:val="ListParagraph"/>
    <w:uiPriority w:val="34"/>
    <w:locked/>
    <w:rsid w:val="00467087"/>
    <w:rPr>
      <w:rFonts w:eastAsia="Times New Roman"/>
      <w:sz w:val="24"/>
      <w:szCs w:val="20"/>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locked/>
    <w:rsid w:val="00467087"/>
    <w:rPr>
      <w:rFonts w:ascii="Arial Narrow" w:eastAsia="Times New Roman" w:hAnsi="Arial Narrow" w:cs="Arial"/>
      <w:b/>
      <w:bCs/>
      <w:iCs/>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467087"/>
    <w:pPr>
      <w:keepNext/>
      <w:spacing w:after="40"/>
      <w:jc w:val="both"/>
      <w:outlineLvl w:val="4"/>
    </w:pPr>
    <w:rPr>
      <w:rFonts w:ascii="Arial Narrow" w:hAnsi="Arial Narrow" w:cs="Arial"/>
      <w:b/>
      <w:bCs/>
      <w:iCs/>
      <w:sz w:val="20"/>
    </w:rPr>
  </w:style>
  <w:style w:type="character" w:customStyle="1" w:styleId="Tablenotes1Char">
    <w:name w:val="Tablenotes 1 Char"/>
    <w:basedOn w:val="DefaultParagraphFont"/>
    <w:link w:val="Tablenotes1"/>
    <w:locked/>
    <w:rsid w:val="00467087"/>
    <w:rPr>
      <w:rFonts w:ascii="Arial Narrow" w:eastAsia="Times New Roman" w:hAnsi="Arial Narrow" w:cs="Arial"/>
      <w:sz w:val="18"/>
      <w:szCs w:val="20"/>
    </w:rPr>
  </w:style>
  <w:style w:type="paragraph" w:customStyle="1" w:styleId="Tablenotes1">
    <w:name w:val="Tablenotes 1"/>
    <w:basedOn w:val="Normal"/>
    <w:link w:val="Tablenotes1Char"/>
    <w:qFormat/>
    <w:rsid w:val="00467087"/>
    <w:pPr>
      <w:widowControl w:val="0"/>
      <w:snapToGrid w:val="0"/>
      <w:spacing w:after="240"/>
      <w:contextualSpacing/>
    </w:pPr>
    <w:rPr>
      <w:rFonts w:ascii="Arial Narrow" w:hAnsi="Arial Narrow" w:cs="Arial"/>
      <w:sz w:val="18"/>
    </w:rPr>
  </w:style>
  <w:style w:type="character" w:customStyle="1" w:styleId="TabletextcentredChar">
    <w:name w:val="Table text centred Char"/>
    <w:basedOn w:val="DefaultParagraphFont"/>
    <w:link w:val="Tabletextcentred"/>
    <w:locked/>
    <w:rsid w:val="00467087"/>
    <w:rPr>
      <w:rFonts w:ascii="Arial Narrow" w:eastAsia="Times New Roman" w:hAnsi="Arial Narrow"/>
      <w:sz w:val="20"/>
      <w:szCs w:val="24"/>
    </w:rPr>
  </w:style>
  <w:style w:type="paragraph" w:customStyle="1" w:styleId="Tabletextcentred">
    <w:name w:val="Table text centred"/>
    <w:basedOn w:val="Normal"/>
    <w:link w:val="TabletextcentredChar"/>
    <w:qFormat/>
    <w:rsid w:val="00467087"/>
    <w:pPr>
      <w:spacing w:before="40" w:after="40"/>
      <w:jc w:val="center"/>
    </w:pPr>
    <w:rPr>
      <w:rFonts w:ascii="Arial Narrow" w:hAnsi="Arial Narrow"/>
      <w:sz w:val="20"/>
      <w:szCs w:val="24"/>
    </w:rPr>
  </w:style>
  <w:style w:type="character" w:customStyle="1" w:styleId="TablenotesChar">
    <w:name w:val="Tablenotes Char"/>
    <w:basedOn w:val="DefaultParagraphFont"/>
    <w:link w:val="Tablenotes"/>
    <w:locked/>
    <w:rsid w:val="00467087"/>
    <w:rPr>
      <w:rFonts w:ascii="Arial Narrow" w:eastAsia="Times New Roman" w:hAnsi="Arial Narrow" w:cs="Arial"/>
      <w:sz w:val="18"/>
      <w:szCs w:val="20"/>
    </w:rPr>
  </w:style>
  <w:style w:type="paragraph" w:customStyle="1" w:styleId="Tablenotes">
    <w:name w:val="Tablenotes"/>
    <w:basedOn w:val="Normal"/>
    <w:link w:val="TablenotesChar"/>
    <w:autoRedefine/>
    <w:qFormat/>
    <w:rsid w:val="00467087"/>
    <w:pPr>
      <w:widowControl w:val="0"/>
      <w:snapToGrid w:val="0"/>
      <w:spacing w:after="120"/>
      <w:contextualSpacing/>
    </w:pPr>
    <w:rPr>
      <w:rFonts w:ascii="Arial Narrow" w:hAnsi="Arial Narrow" w:cs="Arial"/>
      <w:sz w:val="18"/>
    </w:rPr>
  </w:style>
  <w:style w:type="character" w:customStyle="1" w:styleId="TabletextChar">
    <w:name w:val="Table text Char"/>
    <w:basedOn w:val="DefaultParagraphFont"/>
    <w:link w:val="Tabletext0"/>
    <w:locked/>
    <w:rsid w:val="00467087"/>
    <w:rPr>
      <w:rFonts w:ascii="Arial Narrow" w:eastAsia="Times New Roman" w:hAnsi="Arial Narrow"/>
      <w:sz w:val="20"/>
      <w:szCs w:val="24"/>
    </w:rPr>
  </w:style>
  <w:style w:type="paragraph" w:customStyle="1" w:styleId="Tabletext0">
    <w:name w:val="Table text"/>
    <w:basedOn w:val="Normal"/>
    <w:link w:val="TabletextChar"/>
    <w:qFormat/>
    <w:rsid w:val="00467087"/>
    <w:pPr>
      <w:spacing w:before="40" w:after="40"/>
    </w:pPr>
    <w:rPr>
      <w:rFonts w:ascii="Arial Narrow" w:hAnsi="Arial Narrow"/>
      <w:sz w:val="20"/>
      <w:szCs w:val="24"/>
    </w:rPr>
  </w:style>
  <w:style w:type="character" w:customStyle="1" w:styleId="TabletextboldChar">
    <w:name w:val="Table text bold Char"/>
    <w:basedOn w:val="DefaultParagraphFont"/>
    <w:link w:val="Tabletextbold"/>
    <w:locked/>
    <w:rsid w:val="00467087"/>
    <w:rPr>
      <w:rFonts w:ascii="Arial Narrow" w:eastAsia="Times New Roman" w:hAnsi="Arial Narrow" w:cs="Arial"/>
      <w:b/>
      <w:sz w:val="20"/>
      <w:szCs w:val="20"/>
    </w:rPr>
  </w:style>
  <w:style w:type="paragraph" w:customStyle="1" w:styleId="Tabletextbold">
    <w:name w:val="Table text bold"/>
    <w:basedOn w:val="Normal"/>
    <w:link w:val="TabletextboldChar"/>
    <w:qFormat/>
    <w:rsid w:val="00467087"/>
    <w:pPr>
      <w:keepNext/>
      <w:jc w:val="center"/>
    </w:pPr>
    <w:rPr>
      <w:rFonts w:ascii="Arial Narrow" w:hAnsi="Arial Narrow" w:cs="Arial"/>
      <w:b/>
      <w:sz w:val="20"/>
    </w:rPr>
  </w:style>
  <w:style w:type="character" w:customStyle="1" w:styleId="TabletextboldleftChar">
    <w:name w:val="Table text bold left Char"/>
    <w:basedOn w:val="TabletextboldChar"/>
    <w:link w:val="Tabletextboldleft"/>
    <w:locked/>
    <w:rsid w:val="00467087"/>
    <w:rPr>
      <w:rFonts w:ascii="Arial Narrow" w:eastAsia="Times New Roman" w:hAnsi="Arial Narrow" w:cs="Arial"/>
      <w:b/>
      <w:sz w:val="20"/>
      <w:szCs w:val="20"/>
    </w:rPr>
  </w:style>
  <w:style w:type="paragraph" w:customStyle="1" w:styleId="Tabletextboldleft">
    <w:name w:val="Table text bold left"/>
    <w:basedOn w:val="Tabletextbold"/>
    <w:link w:val="TabletextboldleftChar"/>
    <w:qFormat/>
    <w:rsid w:val="00467087"/>
    <w:pPr>
      <w:jc w:val="left"/>
    </w:pPr>
  </w:style>
  <w:style w:type="paragraph" w:customStyle="1" w:styleId="CommentTabletext">
    <w:name w:val="Comment Table text"/>
    <w:basedOn w:val="Tabletext0"/>
    <w:qFormat/>
    <w:rsid w:val="00467087"/>
    <w:rPr>
      <w:rFonts w:cs="Tahoma"/>
      <w:i/>
      <w:iCs/>
      <w:color w:val="C00000"/>
      <w:szCs w:val="20"/>
    </w:rPr>
  </w:style>
  <w:style w:type="character" w:customStyle="1" w:styleId="Heading3Char">
    <w:name w:val="Heading 3 Char"/>
    <w:basedOn w:val="DefaultParagraphFont"/>
    <w:link w:val="Heading3"/>
    <w:semiHidden/>
    <w:rsid w:val="00467087"/>
    <w:rPr>
      <w:rFonts w:eastAsiaTheme="majorEastAsia"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72621">
      <w:bodyDiv w:val="1"/>
      <w:marLeft w:val="0"/>
      <w:marRight w:val="0"/>
      <w:marTop w:val="0"/>
      <w:marBottom w:val="0"/>
      <w:divBdr>
        <w:top w:val="none" w:sz="0" w:space="0" w:color="auto"/>
        <w:left w:val="none" w:sz="0" w:space="0" w:color="auto"/>
        <w:bottom w:val="none" w:sz="0" w:space="0" w:color="auto"/>
        <w:right w:val="none" w:sz="0" w:space="0" w:color="auto"/>
      </w:divBdr>
    </w:div>
    <w:div w:id="481970199">
      <w:bodyDiv w:val="1"/>
      <w:marLeft w:val="0"/>
      <w:marRight w:val="0"/>
      <w:marTop w:val="0"/>
      <w:marBottom w:val="0"/>
      <w:divBdr>
        <w:top w:val="none" w:sz="0" w:space="0" w:color="auto"/>
        <w:left w:val="none" w:sz="0" w:space="0" w:color="auto"/>
        <w:bottom w:val="none" w:sz="0" w:space="0" w:color="auto"/>
        <w:right w:val="none" w:sz="0" w:space="0" w:color="auto"/>
      </w:divBdr>
    </w:div>
    <w:div w:id="624233651">
      <w:bodyDiv w:val="1"/>
      <w:marLeft w:val="0"/>
      <w:marRight w:val="0"/>
      <w:marTop w:val="0"/>
      <w:marBottom w:val="0"/>
      <w:divBdr>
        <w:top w:val="none" w:sz="0" w:space="0" w:color="auto"/>
        <w:left w:val="none" w:sz="0" w:space="0" w:color="auto"/>
        <w:bottom w:val="none" w:sz="0" w:space="0" w:color="auto"/>
        <w:right w:val="none" w:sz="0" w:space="0" w:color="auto"/>
      </w:divBdr>
    </w:div>
    <w:div w:id="705638700">
      <w:bodyDiv w:val="1"/>
      <w:marLeft w:val="0"/>
      <w:marRight w:val="0"/>
      <w:marTop w:val="0"/>
      <w:marBottom w:val="0"/>
      <w:divBdr>
        <w:top w:val="none" w:sz="0" w:space="0" w:color="auto"/>
        <w:left w:val="none" w:sz="0" w:space="0" w:color="auto"/>
        <w:bottom w:val="none" w:sz="0" w:space="0" w:color="auto"/>
        <w:right w:val="none" w:sz="0" w:space="0" w:color="auto"/>
      </w:divBdr>
    </w:div>
    <w:div w:id="816193507">
      <w:bodyDiv w:val="1"/>
      <w:marLeft w:val="0"/>
      <w:marRight w:val="0"/>
      <w:marTop w:val="0"/>
      <w:marBottom w:val="0"/>
      <w:divBdr>
        <w:top w:val="none" w:sz="0" w:space="0" w:color="auto"/>
        <w:left w:val="none" w:sz="0" w:space="0" w:color="auto"/>
        <w:bottom w:val="none" w:sz="0" w:space="0" w:color="auto"/>
        <w:right w:val="none" w:sz="0" w:space="0" w:color="auto"/>
      </w:divBdr>
    </w:div>
    <w:div w:id="816991217">
      <w:bodyDiv w:val="1"/>
      <w:marLeft w:val="0"/>
      <w:marRight w:val="0"/>
      <w:marTop w:val="0"/>
      <w:marBottom w:val="0"/>
      <w:divBdr>
        <w:top w:val="none" w:sz="0" w:space="0" w:color="auto"/>
        <w:left w:val="none" w:sz="0" w:space="0" w:color="auto"/>
        <w:bottom w:val="none" w:sz="0" w:space="0" w:color="auto"/>
        <w:right w:val="none" w:sz="0" w:space="0" w:color="auto"/>
      </w:divBdr>
    </w:div>
    <w:div w:id="828055108">
      <w:bodyDiv w:val="1"/>
      <w:marLeft w:val="0"/>
      <w:marRight w:val="0"/>
      <w:marTop w:val="0"/>
      <w:marBottom w:val="0"/>
      <w:divBdr>
        <w:top w:val="none" w:sz="0" w:space="0" w:color="auto"/>
        <w:left w:val="none" w:sz="0" w:space="0" w:color="auto"/>
        <w:bottom w:val="none" w:sz="0" w:space="0" w:color="auto"/>
        <w:right w:val="none" w:sz="0" w:space="0" w:color="auto"/>
      </w:divBdr>
    </w:div>
    <w:div w:id="833764066">
      <w:bodyDiv w:val="1"/>
      <w:marLeft w:val="0"/>
      <w:marRight w:val="0"/>
      <w:marTop w:val="0"/>
      <w:marBottom w:val="0"/>
      <w:divBdr>
        <w:top w:val="none" w:sz="0" w:space="0" w:color="auto"/>
        <w:left w:val="none" w:sz="0" w:space="0" w:color="auto"/>
        <w:bottom w:val="none" w:sz="0" w:space="0" w:color="auto"/>
        <w:right w:val="none" w:sz="0" w:space="0" w:color="auto"/>
      </w:divBdr>
    </w:div>
    <w:div w:id="848564025">
      <w:bodyDiv w:val="1"/>
      <w:marLeft w:val="0"/>
      <w:marRight w:val="0"/>
      <w:marTop w:val="0"/>
      <w:marBottom w:val="0"/>
      <w:divBdr>
        <w:top w:val="none" w:sz="0" w:space="0" w:color="auto"/>
        <w:left w:val="none" w:sz="0" w:space="0" w:color="auto"/>
        <w:bottom w:val="none" w:sz="0" w:space="0" w:color="auto"/>
        <w:right w:val="none" w:sz="0" w:space="0" w:color="auto"/>
      </w:divBdr>
    </w:div>
    <w:div w:id="1042437611">
      <w:bodyDiv w:val="1"/>
      <w:marLeft w:val="0"/>
      <w:marRight w:val="0"/>
      <w:marTop w:val="0"/>
      <w:marBottom w:val="0"/>
      <w:divBdr>
        <w:top w:val="none" w:sz="0" w:space="0" w:color="auto"/>
        <w:left w:val="none" w:sz="0" w:space="0" w:color="auto"/>
        <w:bottom w:val="none" w:sz="0" w:space="0" w:color="auto"/>
        <w:right w:val="none" w:sz="0" w:space="0" w:color="auto"/>
      </w:divBdr>
    </w:div>
    <w:div w:id="1077706610">
      <w:bodyDiv w:val="1"/>
      <w:marLeft w:val="0"/>
      <w:marRight w:val="0"/>
      <w:marTop w:val="0"/>
      <w:marBottom w:val="0"/>
      <w:divBdr>
        <w:top w:val="none" w:sz="0" w:space="0" w:color="auto"/>
        <w:left w:val="none" w:sz="0" w:space="0" w:color="auto"/>
        <w:bottom w:val="none" w:sz="0" w:space="0" w:color="auto"/>
        <w:right w:val="none" w:sz="0" w:space="0" w:color="auto"/>
      </w:divBdr>
    </w:div>
    <w:div w:id="117953860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75695740">
      <w:bodyDiv w:val="1"/>
      <w:marLeft w:val="0"/>
      <w:marRight w:val="0"/>
      <w:marTop w:val="0"/>
      <w:marBottom w:val="0"/>
      <w:divBdr>
        <w:top w:val="none" w:sz="0" w:space="0" w:color="auto"/>
        <w:left w:val="none" w:sz="0" w:space="0" w:color="auto"/>
        <w:bottom w:val="none" w:sz="0" w:space="0" w:color="auto"/>
        <w:right w:val="none" w:sz="0" w:space="0" w:color="auto"/>
      </w:divBdr>
    </w:div>
    <w:div w:id="1377438036">
      <w:bodyDiv w:val="1"/>
      <w:marLeft w:val="0"/>
      <w:marRight w:val="0"/>
      <w:marTop w:val="0"/>
      <w:marBottom w:val="0"/>
      <w:divBdr>
        <w:top w:val="none" w:sz="0" w:space="0" w:color="auto"/>
        <w:left w:val="none" w:sz="0" w:space="0" w:color="auto"/>
        <w:bottom w:val="none" w:sz="0" w:space="0" w:color="auto"/>
        <w:right w:val="none" w:sz="0" w:space="0" w:color="auto"/>
      </w:divBdr>
    </w:div>
    <w:div w:id="1508669863">
      <w:bodyDiv w:val="1"/>
      <w:marLeft w:val="0"/>
      <w:marRight w:val="0"/>
      <w:marTop w:val="0"/>
      <w:marBottom w:val="0"/>
      <w:divBdr>
        <w:top w:val="none" w:sz="0" w:space="0" w:color="auto"/>
        <w:left w:val="none" w:sz="0" w:space="0" w:color="auto"/>
        <w:bottom w:val="none" w:sz="0" w:space="0" w:color="auto"/>
        <w:right w:val="none" w:sz="0" w:space="0" w:color="auto"/>
      </w:divBdr>
    </w:div>
    <w:div w:id="1514763936">
      <w:bodyDiv w:val="1"/>
      <w:marLeft w:val="0"/>
      <w:marRight w:val="0"/>
      <w:marTop w:val="0"/>
      <w:marBottom w:val="0"/>
      <w:divBdr>
        <w:top w:val="none" w:sz="0" w:space="0" w:color="auto"/>
        <w:left w:val="none" w:sz="0" w:space="0" w:color="auto"/>
        <w:bottom w:val="none" w:sz="0" w:space="0" w:color="auto"/>
        <w:right w:val="none" w:sz="0" w:space="0" w:color="auto"/>
      </w:divBdr>
    </w:div>
    <w:div w:id="1658337999">
      <w:bodyDiv w:val="1"/>
      <w:marLeft w:val="0"/>
      <w:marRight w:val="0"/>
      <w:marTop w:val="0"/>
      <w:marBottom w:val="0"/>
      <w:divBdr>
        <w:top w:val="none" w:sz="0" w:space="0" w:color="auto"/>
        <w:left w:val="none" w:sz="0" w:space="0" w:color="auto"/>
        <w:bottom w:val="none" w:sz="0" w:space="0" w:color="auto"/>
        <w:right w:val="none" w:sz="0" w:space="0" w:color="auto"/>
      </w:divBdr>
    </w:div>
    <w:div w:id="1901286676">
      <w:bodyDiv w:val="1"/>
      <w:marLeft w:val="0"/>
      <w:marRight w:val="0"/>
      <w:marTop w:val="0"/>
      <w:marBottom w:val="0"/>
      <w:divBdr>
        <w:top w:val="none" w:sz="0" w:space="0" w:color="auto"/>
        <w:left w:val="none" w:sz="0" w:space="0" w:color="auto"/>
        <w:bottom w:val="none" w:sz="0" w:space="0" w:color="auto"/>
        <w:right w:val="none" w:sz="0" w:space="0" w:color="auto"/>
      </w:divBdr>
    </w:div>
    <w:div w:id="20067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oi.org/10.1007/s40273-016-0423-y"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E72BFBEC5447F91FCA25801000123B6D/$File/1140-MACI-ACI-PSD-endorsed-MSAC-23.2.11-with-link-Accessible.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msac.gov.au/internet/msac/publishing.nsf/Content/E72BFBEC5447F91FCA25801000123B6D/$File/1140-MACI-ACI-PSD-endorsed-MSAC-23.2.11-with-link-Accessible.docx" TargetMode="External"/><Relationship Id="rId19" Type="http://schemas.openxmlformats.org/officeDocument/2006/relationships/footer" Target="footer4.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 Id="rId22" Type="http://schemas.openxmlformats.org/officeDocument/2006/relationships/hyperlink" Target="http://www.msac.gov.au/"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5487-302E-45E4-85CC-B21FEA9A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9734</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2020-10-14T02:44:00Z</dcterms:created>
  <dcterms:modified xsi:type="dcterms:W3CDTF">2020-10-27T01:25:00Z</dcterms:modified>
</cp:coreProperties>
</file>